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9E1E5" w14:textId="03FCEEB9" w:rsidR="002746EF" w:rsidRPr="009B235C" w:rsidRDefault="002746EF" w:rsidP="002746EF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x-none"/>
        </w:rPr>
      </w:pPr>
      <w:r w:rsidRPr="002746EF">
        <w:rPr>
          <w:rFonts w:ascii="Arial" w:eastAsia="Times New Roman" w:hAnsi="Arial" w:cs="Arial"/>
          <w:b/>
          <w:sz w:val="24"/>
          <w:szCs w:val="24"/>
          <w:lang w:eastAsia="x-none"/>
        </w:rPr>
        <w:t>Załącznik</w:t>
      </w:r>
      <w:r w:rsidRPr="002746EF">
        <w:rPr>
          <w:rFonts w:ascii="Arial" w:eastAsia="Times New Roman" w:hAnsi="Arial" w:cs="Arial"/>
          <w:sz w:val="24"/>
          <w:szCs w:val="24"/>
          <w:lang w:eastAsia="x-none"/>
        </w:rPr>
        <w:t xml:space="preserve"> nr </w:t>
      </w:r>
      <w:r w:rsidRPr="009B235C">
        <w:rPr>
          <w:rFonts w:ascii="Arial" w:eastAsia="Times New Roman" w:hAnsi="Arial" w:cs="Arial"/>
          <w:sz w:val="24"/>
          <w:szCs w:val="24"/>
          <w:lang w:eastAsia="x-none"/>
        </w:rPr>
        <w:t xml:space="preserve">1 do Uchwały ZWM nr </w:t>
      </w:r>
      <w:r w:rsidR="006239BC">
        <w:rPr>
          <w:rFonts w:ascii="Arial" w:eastAsia="Times New Roman" w:hAnsi="Arial" w:cs="Arial"/>
          <w:sz w:val="24"/>
          <w:szCs w:val="24"/>
          <w:lang w:eastAsia="x-none"/>
        </w:rPr>
        <w:t>2147/25 z dnia 16.09.</w:t>
      </w:r>
      <w:bookmarkStart w:id="0" w:name="_GoBack"/>
      <w:bookmarkEnd w:id="0"/>
      <w:r w:rsidRPr="002746EF">
        <w:rPr>
          <w:rFonts w:ascii="Arial" w:eastAsia="Times New Roman" w:hAnsi="Arial" w:cs="Arial"/>
          <w:sz w:val="24"/>
          <w:szCs w:val="24"/>
          <w:lang w:eastAsia="x-none"/>
        </w:rPr>
        <w:t>2025 r.</w:t>
      </w:r>
    </w:p>
    <w:p w14:paraId="3634BBC7" w14:textId="41263C83" w:rsidR="00872E76" w:rsidRPr="00FF08CA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FF08CA">
        <w:rPr>
          <w:rFonts w:ascii="Arial" w:hAnsi="Arial" w:cs="Arial"/>
          <w:i w:val="0"/>
          <w:sz w:val="20"/>
        </w:rPr>
        <w:t>Załącznik Nr 6 do Umowy o dofina</w:t>
      </w:r>
      <w:r w:rsidR="002E4C27" w:rsidRPr="00FF08CA">
        <w:rPr>
          <w:rFonts w:ascii="Arial" w:hAnsi="Arial" w:cs="Arial"/>
          <w:i w:val="0"/>
          <w:sz w:val="20"/>
        </w:rPr>
        <w:t>n</w:t>
      </w:r>
      <w:r w:rsidRPr="00FF08CA">
        <w:rPr>
          <w:rFonts w:ascii="Arial" w:hAnsi="Arial" w:cs="Arial"/>
          <w:i w:val="0"/>
          <w:sz w:val="20"/>
        </w:rPr>
        <w:t xml:space="preserve">sowanie dla Projektu realizowanego w ramach </w:t>
      </w:r>
      <w:r w:rsidR="00475E11" w:rsidRPr="00FF08CA">
        <w:rPr>
          <w:rFonts w:ascii="Arial" w:hAnsi="Arial" w:cs="Arial"/>
          <w:i w:val="0"/>
          <w:sz w:val="20"/>
        </w:rPr>
        <w:t>FEM</w:t>
      </w:r>
      <w:r w:rsidRPr="00FF08CA">
        <w:rPr>
          <w:rFonts w:ascii="Arial" w:hAnsi="Arial" w:cs="Arial"/>
          <w:i w:val="0"/>
          <w:sz w:val="20"/>
        </w:rPr>
        <w:t xml:space="preserve"> na lata 20</w:t>
      </w:r>
      <w:r w:rsidR="00475E11" w:rsidRPr="00FF08CA">
        <w:rPr>
          <w:rFonts w:ascii="Arial" w:hAnsi="Arial" w:cs="Arial"/>
          <w:i w:val="0"/>
          <w:sz w:val="20"/>
        </w:rPr>
        <w:t>21</w:t>
      </w:r>
      <w:r w:rsidRPr="00FF08CA">
        <w:rPr>
          <w:rFonts w:ascii="Arial" w:hAnsi="Arial" w:cs="Arial"/>
          <w:i w:val="0"/>
          <w:sz w:val="20"/>
        </w:rPr>
        <w:t>-202</w:t>
      </w:r>
      <w:r w:rsidR="00475E11" w:rsidRPr="00FF08CA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A85776">
      <w:pPr>
        <w:pStyle w:val="Nagwek3"/>
        <w:spacing w:before="100" w:beforeAutospacing="1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049E157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</w:t>
      </w:r>
      <w:r w:rsidR="00A73025" w:rsidRPr="00A73025">
        <w:rPr>
          <w:rFonts w:ascii="Arial" w:hAnsi="Arial" w:cs="Arial"/>
          <w:sz w:val="24"/>
          <w:szCs w:val="24"/>
        </w:rPr>
        <w:t>należy przez to rozumieć umowę odpłatną, której przedmiotem są usługi, dostawy lub roboty budowlane przewidziane w projekcie realizowanym w ramach Programu FEM, zawartą pomiędzy zamawiającym a wykonawcą zgodnie z warunkami wynikającymi z Prawa zamówień publicznych albo zgodnie z zasadą konkurencyjności, o której mowa w Wytycznych dotyczących kwalifikowalności wydatków na lata 2021-2027</w:t>
      </w:r>
      <w:r w:rsidR="004257B5">
        <w:rPr>
          <w:rFonts w:ascii="Arial" w:hAnsi="Arial" w:cs="Arial"/>
          <w:sz w:val="24"/>
          <w:szCs w:val="24"/>
        </w:rPr>
        <w:t>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3F4888">
      <w:pPr>
        <w:pStyle w:val="Nagwek3"/>
        <w:spacing w:before="0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24EF137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</w:t>
      </w:r>
      <w:r w:rsidR="003E10A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 xml:space="preserve">i pomocy de </w:t>
      </w:r>
      <w:proofErr w:type="spellStart"/>
      <w:r w:rsidR="00D5650F">
        <w:rPr>
          <w:rFonts w:cs="Arial"/>
          <w:lang w:val="pl-PL"/>
        </w:rPr>
        <w:t>minimis</w:t>
      </w:r>
      <w:proofErr w:type="spellEnd"/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A61A078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796083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 xml:space="preserve">, polegające na dostosowaniu budżetu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E10AD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zmianie nie ulega zakres rzeczowy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>mowy</w:t>
      </w:r>
      <w:r w:rsidR="00796083">
        <w:rPr>
          <w:rFonts w:cs="Arial"/>
          <w:bCs/>
          <w:lang w:val="pl-PL"/>
        </w:rPr>
        <w:t xml:space="preserve">, </w:t>
      </w:r>
      <w:r w:rsidR="00BB1808" w:rsidRPr="00522D45">
        <w:rPr>
          <w:rFonts w:cs="Arial"/>
        </w:rPr>
        <w:t xml:space="preserve">z zastrzeżeniem zapisów 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63AB004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 xml:space="preserve">/pomocy de </w:t>
      </w:r>
      <w:proofErr w:type="spellStart"/>
      <w:r w:rsidR="005A2662" w:rsidRPr="004257B5">
        <w:rPr>
          <w:rFonts w:cs="Arial"/>
          <w:lang w:val="pl-PL"/>
        </w:rPr>
        <w:t>minimis</w:t>
      </w:r>
      <w:proofErr w:type="spellEnd"/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796083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B050B7A" w:rsidR="00AE06BD" w:rsidRPr="00AE06BD" w:rsidRDefault="00AE06BD" w:rsidP="0064734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co do zasady nie wymaga zmiany Umowy</w:t>
      </w:r>
      <w:r w:rsidR="0064734A" w:rsidRPr="0064734A">
        <w:t xml:space="preserve"> </w:t>
      </w:r>
      <w:r w:rsidR="0064734A">
        <w:rPr>
          <w:rFonts w:cs="Arial"/>
          <w:lang w:val="pl-PL"/>
        </w:rPr>
        <w:t>w formie a</w:t>
      </w:r>
      <w:r w:rsidR="0064734A" w:rsidRPr="0064734A">
        <w:rPr>
          <w:rFonts w:cs="Arial"/>
          <w:lang w:val="pl-PL"/>
        </w:rPr>
        <w:t>neksu</w:t>
      </w:r>
      <w:r>
        <w:rPr>
          <w:rFonts w:cs="Arial"/>
          <w:lang w:val="pl-PL"/>
        </w:rPr>
        <w:t xml:space="preserve">. W przypadku gdyby wprowadzane zmiany w opinii </w:t>
      </w:r>
      <w:r w:rsidR="0064734A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</w:t>
      </w:r>
      <w:proofErr w:type="spellStart"/>
      <w:r w:rsidRPr="004257B5">
        <w:rPr>
          <w:rFonts w:cs="Arial"/>
          <w:bCs/>
        </w:rPr>
        <w:t>poprzetargowych</w:t>
      </w:r>
      <w:proofErr w:type="spellEnd"/>
      <w:r w:rsidRPr="004257B5">
        <w:rPr>
          <w:rFonts w:cs="Arial"/>
          <w:bCs/>
        </w:rPr>
        <w:t xml:space="preserve">, mając na względzie następujące zasady:  </w:t>
      </w:r>
    </w:p>
    <w:p w14:paraId="2B90C009" w14:textId="144D345B" w:rsidR="00BA52F4" w:rsidRPr="005421D0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="00BA52F4" w:rsidRPr="004257B5">
        <w:rPr>
          <w:rFonts w:cs="Arial"/>
          <w:bCs/>
        </w:rPr>
        <w:t>w stosunku do</w:t>
      </w:r>
      <w:r w:rsidR="00BA52F4" w:rsidRPr="004257B5">
        <w:rPr>
          <w:rFonts w:cs="Arial"/>
          <w:bCs/>
          <w:lang w:val="pl-PL"/>
        </w:rPr>
        <w:t> </w:t>
      </w:r>
      <w:r w:rsidR="00BA52F4" w:rsidRPr="004257B5">
        <w:rPr>
          <w:rFonts w:cs="Arial"/>
          <w:bCs/>
        </w:rPr>
        <w:t>sumy wartości tych wydatków określonych we wniosku</w:t>
      </w:r>
      <w:r w:rsidR="00796083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</w:t>
      </w:r>
      <w:r w:rsidR="00BA52F4"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5421D0">
        <w:rPr>
          <w:rFonts w:cs="Arial"/>
        </w:rPr>
        <w:t xml:space="preserve">§ 2 </w:t>
      </w:r>
      <w:r w:rsidR="00BA52F4"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</w:t>
      </w:r>
      <w:r w:rsidR="00BA52F4"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="00BA52F4" w:rsidRPr="005421D0">
        <w:rPr>
          <w:rFonts w:cs="Arial"/>
          <w:bCs/>
        </w:rPr>
        <w:t xml:space="preserve"> obejmującego inne wydatki</w:t>
      </w:r>
      <w:r>
        <w:rPr>
          <w:rFonts w:cs="Arial"/>
          <w:bCs/>
          <w:lang w:val="pl-PL"/>
        </w:rPr>
        <w:t>;</w:t>
      </w:r>
    </w:p>
    <w:p w14:paraId="6B23DEF3" w14:textId="6E47BF5F" w:rsidR="00BA52F4" w:rsidRPr="006C1D5A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</w:t>
      </w:r>
      <w:r w:rsidR="00BA52F4" w:rsidRPr="005421D0">
        <w:rPr>
          <w:rFonts w:cs="Arial"/>
          <w:bCs/>
        </w:rPr>
        <w:t xml:space="preserve"> przypadku wygenerowania oszczędności Beneficjent może wystąpić do </w:t>
      </w:r>
      <w:r w:rsidR="00971DD0">
        <w:rPr>
          <w:rFonts w:cs="Arial"/>
          <w:bCs/>
        </w:rPr>
        <w:br/>
      </w:r>
      <w:r w:rsidR="00BA52F4"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>w</w:t>
      </w:r>
      <w:r w:rsidR="00C443C0">
        <w:rPr>
          <w:rFonts w:cs="Arial"/>
          <w:bCs/>
          <w:lang w:val="pl-PL"/>
        </w:rPr>
        <w:t>;</w:t>
      </w:r>
      <w:r w:rsidR="00862EE8" w:rsidRPr="005421D0">
        <w:rPr>
          <w:rFonts w:cs="Arial"/>
          <w:bCs/>
        </w:rPr>
        <w:t xml:space="preserve">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="00BA52F4"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="00BA52F4"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="00BA52F4" w:rsidRPr="005421D0">
        <w:rPr>
          <w:rFonts w:cs="Arial"/>
          <w:bCs/>
        </w:rPr>
        <w:t>mowie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="00BA52F4"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="00BA52F4"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="00BA52F4"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="00BA52F4"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="00C443C0">
        <w:rPr>
          <w:rFonts w:cs="Arial"/>
          <w:bCs/>
          <w:lang w:val="pl-PL"/>
        </w:rPr>
        <w:t>;</w:t>
      </w:r>
      <w:r w:rsidR="00BA52F4" w:rsidRPr="004257B5">
        <w:rPr>
          <w:rFonts w:cs="Arial"/>
          <w:bCs/>
        </w:rPr>
        <w:t xml:space="preserve"> </w:t>
      </w:r>
      <w:r w:rsidR="00C443C0"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</w:t>
      </w:r>
      <w:r w:rsidR="00A10E30">
        <w:rPr>
          <w:rFonts w:cs="Arial"/>
          <w:bCs/>
          <w:lang w:val="pl-PL"/>
        </w:rPr>
        <w:t>takich</w:t>
      </w:r>
      <w:r w:rsidR="00BA52F4"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="00CD6407">
        <w:rPr>
          <w:rFonts w:cs="Arial"/>
          <w:bCs/>
          <w:lang w:val="pl-PL"/>
        </w:rPr>
        <w:t>;</w:t>
      </w:r>
    </w:p>
    <w:p w14:paraId="2EC8AB77" w14:textId="24376A02" w:rsidR="00E7105A" w:rsidRPr="00A10C7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d</w:t>
      </w:r>
      <w:r w:rsidR="00C07046" w:rsidRPr="00A10C7F">
        <w:rPr>
          <w:rFonts w:cs="Arial"/>
          <w:bCs/>
          <w:lang w:val="pl-PL"/>
        </w:rPr>
        <w:t xml:space="preserve">opuszczalne jest przesunięcie do kosztów kwalifikowalnych nadwyżek </w:t>
      </w:r>
      <w:proofErr w:type="spellStart"/>
      <w:r w:rsidR="00C07046" w:rsidRPr="00A10C7F">
        <w:rPr>
          <w:rFonts w:cs="Arial"/>
          <w:bCs/>
          <w:lang w:val="pl-PL"/>
        </w:rPr>
        <w:t>poprzetargowych</w:t>
      </w:r>
      <w:proofErr w:type="spellEnd"/>
      <w:r w:rsidR="00C07046" w:rsidRPr="00A10C7F">
        <w:rPr>
          <w:rFonts w:cs="Arial"/>
          <w:bCs/>
          <w:lang w:val="pl-PL"/>
        </w:rPr>
        <w:t xml:space="preserve">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="00C07046"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="00C07046" w:rsidRPr="00A10C7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>
        <w:rPr>
          <w:rFonts w:cs="Arial"/>
          <w:bCs/>
          <w:lang w:val="pl-PL"/>
        </w:rPr>
        <w:t>;</w:t>
      </w:r>
    </w:p>
    <w:p w14:paraId="74FB38FA" w14:textId="3D516460" w:rsidR="00680285" w:rsidRPr="004257B5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>środki</w:t>
      </w:r>
      <w:r w:rsidR="00680285" w:rsidRPr="00A10C7F">
        <w:rPr>
          <w:rFonts w:cs="Arial"/>
        </w:rPr>
        <w:t xml:space="preserve">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="00680285" w:rsidRPr="00A10C7F">
        <w:rPr>
          <w:rFonts w:cs="Arial"/>
        </w:rPr>
        <w:t>rezygnacji z realizacji</w:t>
      </w:r>
      <w:r w:rsidR="00680285"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nie są traktowane jako oszczędność</w:t>
      </w:r>
      <w:r>
        <w:rPr>
          <w:rFonts w:cs="Arial"/>
          <w:lang w:val="pl-PL"/>
        </w:rPr>
        <w:t>;</w:t>
      </w:r>
      <w:r w:rsidR="00680285" w:rsidRPr="004257B5">
        <w:rPr>
          <w:rFonts w:cs="Arial"/>
        </w:rPr>
        <w:t xml:space="preserve"> </w:t>
      </w:r>
      <w:r w:rsidR="00C443C0" w:rsidRPr="004257B5">
        <w:rPr>
          <w:rFonts w:cs="Arial"/>
        </w:rPr>
        <w:t>jednak</w:t>
      </w:r>
      <w:r w:rsidR="00C443C0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="00680285" w:rsidRPr="004257B5">
        <w:rPr>
          <w:rFonts w:cs="Arial"/>
        </w:rPr>
        <w:t xml:space="preserve">dopuszcza możliwość wykorzystania tych środków jako oszczędność, a Beneficjent co do zasady zobowiązany jest </w:t>
      </w:r>
      <w:r w:rsidR="00680285" w:rsidRPr="004257B5">
        <w:rPr>
          <w:rFonts w:cs="Arial"/>
        </w:rPr>
        <w:lastRenderedPageBreak/>
        <w:t>do wykazania tej części zakresu rzeczowego po stronie kosztów niekwalifikowanych</w:t>
      </w:r>
      <w:r w:rsidR="00C443C0">
        <w:rPr>
          <w:rFonts w:cs="Arial"/>
          <w:lang w:val="pl-PL"/>
        </w:rPr>
        <w:t>.</w:t>
      </w:r>
    </w:p>
    <w:p w14:paraId="3D0C984C" w14:textId="3C66D42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>nie mogą prowadzić do zwiększenia dofinansowania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77A6DAA0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FC0EC3">
        <w:rPr>
          <w:rFonts w:cs="Arial"/>
          <w:bCs/>
          <w:lang w:val="pl-PL"/>
        </w:rPr>
        <w:t>18</w:t>
      </w:r>
      <w:r w:rsidR="00ED5156">
        <w:rPr>
          <w:rFonts w:cs="Arial"/>
          <w:bCs/>
          <w:lang w:val="pl-PL"/>
        </w:rPr>
        <w:t xml:space="preserve"> </w:t>
      </w:r>
      <w:r w:rsidR="00AE38E5" w:rsidRPr="004257B5">
        <w:rPr>
          <w:rFonts w:cs="Arial"/>
          <w:bCs/>
          <w:lang w:val="pl-PL"/>
        </w:rPr>
        <w:t>Umowy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Umowy.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65CF59F3" w14:textId="77777777" w:rsidR="0064734A" w:rsidRDefault="0064734A" w:rsidP="0064734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Umowy nie jest </w:t>
      </w:r>
      <w:r w:rsidRPr="004257B5">
        <w:rPr>
          <w:rFonts w:cs="Arial"/>
          <w:bCs/>
        </w:rPr>
        <w:t>możliwe wprowadzanie</w:t>
      </w:r>
      <w:r>
        <w:rPr>
          <w:rFonts w:cs="Arial"/>
          <w:bCs/>
          <w:lang w:val="pl-PL"/>
        </w:rPr>
        <w:t>:</w:t>
      </w:r>
    </w:p>
    <w:p w14:paraId="5EBAA0FB" w14:textId="4F51919B" w:rsidR="0064734A" w:rsidRDefault="0064734A" w:rsidP="0064734A">
      <w:pPr>
        <w:pStyle w:val="Tekstpodstawowy"/>
        <w:tabs>
          <w:tab w:val="left" w:pos="567"/>
          <w:tab w:val="left" w:pos="709"/>
        </w:tabs>
        <w:spacing w:line="276" w:lineRule="auto"/>
        <w:ind w:left="360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 xml:space="preserve">1) </w:t>
      </w:r>
      <w:r w:rsidRPr="002E582D">
        <w:rPr>
          <w:rFonts w:cs="Arial"/>
          <w:bCs/>
        </w:rPr>
        <w:t xml:space="preserve">kosztów pośrednich do budżetu </w:t>
      </w:r>
      <w:r w:rsidRPr="002E582D">
        <w:rPr>
          <w:rFonts w:cs="Arial"/>
          <w:bCs/>
          <w:lang w:val="pl-PL"/>
        </w:rPr>
        <w:t>P</w:t>
      </w:r>
      <w:r w:rsidRPr="002E582D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;</w:t>
      </w:r>
    </w:p>
    <w:p w14:paraId="38BEB7FE" w14:textId="77777777" w:rsidR="0064734A" w:rsidRPr="00964019" w:rsidRDefault="0064734A" w:rsidP="0064734A">
      <w:pPr>
        <w:pStyle w:val="Tekstpodstawowy"/>
        <w:spacing w:line="276" w:lineRule="auto"/>
        <w:ind w:left="360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 xml:space="preserve">2) </w:t>
      </w:r>
      <w:r w:rsidRPr="00964019">
        <w:rPr>
          <w:rFonts w:cs="Arial"/>
          <w:bCs/>
          <w:lang w:val="pl-PL"/>
        </w:rPr>
        <w:t>do kosztów kwalifikowalnych podatku VAT, który ujęty był w budżecie projektu po stronie wydatków niekwalifikowalnych.</w:t>
      </w:r>
    </w:p>
    <w:p w14:paraId="24D1A75F" w14:textId="1D886942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</w:t>
      </w:r>
      <w:r w:rsidR="00796083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  <w:lang w:val="pl-PL"/>
        </w:rPr>
        <w:t>oraz wskaźników, o których mowa w § 2 ust. 15 Umowy</w:t>
      </w:r>
      <w:r w:rsidR="003F6D24">
        <w:rPr>
          <w:rFonts w:cs="Arial"/>
          <w:bCs/>
          <w:lang w:val="pl-PL"/>
        </w:rPr>
        <w:t xml:space="preserve">. </w:t>
      </w:r>
      <w:r w:rsidR="003F6D24">
        <w:rPr>
          <w:rFonts w:cs="Arial"/>
          <w:bCs/>
          <w:lang w:val="pl-PL"/>
        </w:rPr>
        <w:br/>
      </w: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67E627ED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Możliwość odzyskania podatku VAT rozpatruje </w:t>
      </w:r>
      <w:r w:rsidR="00E84A8C" w:rsidRPr="004257B5">
        <w:rPr>
          <w:rFonts w:cs="Arial"/>
          <w:bCs/>
        </w:rPr>
        <w:t>się</w:t>
      </w:r>
      <w:r w:rsidR="00E84A8C">
        <w:rPr>
          <w:rFonts w:cs="Arial"/>
          <w:bCs/>
          <w:lang w:val="pl-PL"/>
        </w:rPr>
        <w:t xml:space="preserve"> zgodnie z obowiązującym prawodawstwem krajowym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4112FAB8" w14:textId="1EB6745B" w:rsidR="00E84A8C" w:rsidRPr="00037C09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>Podatek VAT może być uznany za kwalifikowalny wyłącznie wówczas gdy</w:t>
      </w:r>
      <w:r w:rsidR="00B50FE7">
        <w:rPr>
          <w:rFonts w:ascii="Arial" w:hAnsi="Arial" w:cs="Arial"/>
          <w:bCs/>
          <w:lang w:eastAsia="en-US"/>
        </w:rPr>
        <w:t>,</w:t>
      </w:r>
      <w:r>
        <w:rPr>
          <w:rFonts w:ascii="Arial" w:hAnsi="Arial" w:cs="Arial"/>
          <w:bCs/>
          <w:lang w:eastAsia="en-US"/>
        </w:rPr>
        <w:t xml:space="preserve"> zgodnie z obowiązującym prawodawstwem krajowym Beneficjentowi (lub innemu podmiotowi uprawnionemu do ponoszenia i rozliczania </w:t>
      </w:r>
      <w:r w:rsidR="000D09F5">
        <w:rPr>
          <w:rFonts w:ascii="Arial" w:hAnsi="Arial" w:cs="Arial"/>
          <w:bCs/>
          <w:lang w:eastAsia="en-US"/>
        </w:rPr>
        <w:t xml:space="preserve">wydatków w </w:t>
      </w:r>
      <w:r w:rsidR="000E2935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eastAsia="en-US"/>
        </w:rPr>
        <w:t xml:space="preserve">rojekcie – jeśli dotyczy), nie przysługuje prawo do obniżenia kwoty podatku należnego </w:t>
      </w:r>
      <w:r w:rsidR="009829BC">
        <w:rPr>
          <w:rFonts w:ascii="Arial" w:hAnsi="Arial" w:cs="Arial"/>
          <w:bCs/>
          <w:lang w:eastAsia="en-US"/>
        </w:rPr>
        <w:br/>
      </w:r>
      <w:r>
        <w:rPr>
          <w:rFonts w:ascii="Arial" w:hAnsi="Arial" w:cs="Arial"/>
          <w:bCs/>
          <w:lang w:eastAsia="en-US"/>
        </w:rPr>
        <w:t>o kwotę podatku naliczonego lub ubiegania się o zwrot podatku VAT.</w:t>
      </w:r>
    </w:p>
    <w:p w14:paraId="603220E5" w14:textId="4104C236" w:rsidR="00E84A8C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W projekcie partnerskim ocena kwalifikowalności VAT jest dokonywana z punktu widzenia Beneficjenta i każdego z Partnerów z osobna – z uwzględnieniem ich prawa podmiotowego do odzyskania </w:t>
      </w:r>
      <w:r w:rsidR="004E5A6A">
        <w:rPr>
          <w:rFonts w:ascii="Arial" w:hAnsi="Arial" w:cs="Arial"/>
          <w:bCs/>
          <w:lang w:eastAsia="en-US"/>
        </w:rPr>
        <w:t>VAT</w:t>
      </w:r>
      <w:r w:rsidR="000A0219">
        <w:rPr>
          <w:rFonts w:ascii="Arial" w:hAnsi="Arial" w:cs="Arial"/>
          <w:bCs/>
          <w:lang w:eastAsia="en-US"/>
        </w:rPr>
        <w:t>.</w:t>
      </w:r>
    </w:p>
    <w:p w14:paraId="719A0470" w14:textId="434B76A2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</w:t>
      </w:r>
      <w:r w:rsidR="003E10AD">
        <w:rPr>
          <w:rFonts w:ascii="Arial" w:hAnsi="Arial" w:cs="Arial"/>
          <w:bCs/>
          <w:lang w:eastAsia="en-US"/>
        </w:rPr>
        <w:t>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lastRenderedPageBreak/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521E7DE5" w14:textId="1495893B" w:rsidR="00FD3955" w:rsidRPr="00FD3955" w:rsidRDefault="005F1022" w:rsidP="00FD395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081B4C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 w:rsidRPr="00081B4C">
        <w:rPr>
          <w:rFonts w:cs="Arial"/>
          <w:bCs/>
        </w:rPr>
        <w:br/>
      </w:r>
      <w:r w:rsidRPr="00081B4C">
        <w:rPr>
          <w:rFonts w:cs="Arial"/>
          <w:bCs/>
        </w:rPr>
        <w:t>z budżetu krajowego.</w:t>
      </w:r>
      <w:r w:rsidR="00FD3955" w:rsidRPr="00FD3955">
        <w:rPr>
          <w:rFonts w:cs="Arial"/>
          <w:bCs/>
          <w:lang w:val="pl-PL"/>
        </w:rPr>
        <w:t xml:space="preserve"> Wysokość podatku VAT kwalifikowalnego w ramach Projektu ustalana jest na podstawie prognozowanego współczynnika proporcji określonego na dany rok, a po zakończeniu roku korygowana w oparciu </w:t>
      </w:r>
      <w:r w:rsidR="00FD3955">
        <w:rPr>
          <w:rFonts w:cs="Arial"/>
          <w:bCs/>
          <w:lang w:val="pl-PL"/>
        </w:rPr>
        <w:br/>
      </w:r>
      <w:r w:rsidR="00FD3955" w:rsidRPr="00FD3955">
        <w:rPr>
          <w:rFonts w:cs="Arial"/>
          <w:bCs/>
          <w:lang w:val="pl-PL"/>
        </w:rPr>
        <w:t>o rzeczywisty współczynnik proporcji.</w:t>
      </w:r>
    </w:p>
    <w:p w14:paraId="08CC8EB7" w14:textId="6F04A1B5" w:rsidR="005F1022" w:rsidRPr="00081B4C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081B4C">
        <w:rPr>
          <w:rFonts w:cs="Arial"/>
          <w:bCs/>
        </w:rPr>
        <w:t xml:space="preserve">i prognozowany,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052090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wyższej niż pierwotnie zaplanował. W takiej sytuacji zwiększa się poziom VAT-u n</w:t>
      </w:r>
      <w:r w:rsidR="00052090" w:rsidRPr="00081B4C">
        <w:rPr>
          <w:rFonts w:cs="Arial"/>
          <w:bCs/>
        </w:rPr>
        <w:t xml:space="preserve">iekwalifikowalnego </w:t>
      </w:r>
      <w:r w:rsidR="004D3C87" w:rsidRPr="00081B4C">
        <w:rPr>
          <w:rFonts w:cs="Arial"/>
          <w:bCs/>
        </w:rPr>
        <w:br/>
      </w:r>
      <w:r w:rsidR="00052090" w:rsidRPr="00081B4C">
        <w:rPr>
          <w:rFonts w:cs="Arial"/>
          <w:bCs/>
        </w:rPr>
        <w:t xml:space="preserve">w </w:t>
      </w:r>
      <w:r w:rsidR="0028534C" w:rsidRPr="00081B4C">
        <w:rPr>
          <w:rFonts w:cs="Arial"/>
          <w:bCs/>
          <w:lang w:val="pl-PL"/>
        </w:rPr>
        <w:t>P</w:t>
      </w:r>
      <w:proofErr w:type="spellStart"/>
      <w:r w:rsidR="00052090" w:rsidRPr="00081B4C">
        <w:rPr>
          <w:rFonts w:cs="Arial"/>
          <w:bCs/>
        </w:rPr>
        <w:t>rojekcie</w:t>
      </w:r>
      <w:proofErr w:type="spellEnd"/>
      <w:r w:rsidRPr="00081B4C">
        <w:rPr>
          <w:rFonts w:cs="Arial"/>
          <w:bCs/>
          <w:lang w:val="pl-PL"/>
        </w:rPr>
        <w:t>, a</w:t>
      </w:r>
      <w:r w:rsidR="00052090" w:rsidRPr="00081B4C">
        <w:rPr>
          <w:rFonts w:cs="Arial"/>
          <w:bCs/>
        </w:rPr>
        <w:t xml:space="preserve"> B</w:t>
      </w:r>
      <w:r w:rsidR="005F1022" w:rsidRPr="00081B4C">
        <w:rPr>
          <w:rFonts w:cs="Arial"/>
          <w:bCs/>
        </w:rPr>
        <w:t xml:space="preserve">eneficjent będzie zobowiązany do zwrotu środków wraz </w:t>
      </w:r>
      <w:r w:rsidR="004D3C87" w:rsidRPr="00081B4C">
        <w:rPr>
          <w:rFonts w:cs="Arial"/>
          <w:bCs/>
        </w:rPr>
        <w:br/>
      </w:r>
      <w:r w:rsidR="005F1022" w:rsidRPr="00081B4C">
        <w:rPr>
          <w:rFonts w:cs="Arial"/>
          <w:bCs/>
        </w:rPr>
        <w:t>z odsetkami</w:t>
      </w:r>
      <w:r w:rsidR="00CD6407" w:rsidRPr="00081B4C">
        <w:rPr>
          <w:rFonts w:cs="Arial"/>
          <w:bCs/>
          <w:lang w:val="pl-PL"/>
        </w:rPr>
        <w:t>,</w:t>
      </w:r>
      <w:r w:rsidR="005F1022" w:rsidRPr="00081B4C">
        <w:rPr>
          <w:rFonts w:cs="Arial"/>
          <w:bCs/>
        </w:rPr>
        <w:t xml:space="preserve"> liczonymi jak dla zaległości podatkowych.</w:t>
      </w:r>
    </w:p>
    <w:p w14:paraId="3A808A15" w14:textId="5664D24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081B4C">
        <w:rPr>
          <w:rFonts w:cs="Arial"/>
          <w:bCs/>
        </w:rPr>
        <w:t xml:space="preserve">i prognozowany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EF1CE7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niższej niż pierwotnie zaplanow</w:t>
      </w:r>
      <w:r w:rsidR="00052090" w:rsidRPr="00081B4C">
        <w:rPr>
          <w:rFonts w:cs="Arial"/>
          <w:bCs/>
        </w:rPr>
        <w:t>ał. W takiej sytuacji B</w:t>
      </w:r>
      <w:r w:rsidR="005F1022" w:rsidRPr="00081B4C">
        <w:rPr>
          <w:rFonts w:cs="Arial"/>
          <w:bCs/>
        </w:rPr>
        <w:t>eneficjent nie ma możliwości zwiększenia poz</w:t>
      </w:r>
      <w:r w:rsidR="00EF1CE7" w:rsidRPr="00081B4C">
        <w:rPr>
          <w:rFonts w:cs="Arial"/>
          <w:bCs/>
        </w:rPr>
        <w:t>iomu wydatków kwalifikowanych i kwalifikowalny podatek VAT w </w:t>
      </w:r>
      <w:r w:rsidR="0028534C" w:rsidRPr="00081B4C">
        <w:rPr>
          <w:rFonts w:cs="Arial"/>
          <w:bCs/>
          <w:lang w:val="pl-PL"/>
        </w:rPr>
        <w:t>P</w:t>
      </w:r>
      <w:proofErr w:type="spellStart"/>
      <w:r w:rsidR="005F1022" w:rsidRPr="00081B4C">
        <w:rPr>
          <w:rFonts w:cs="Arial"/>
          <w:bCs/>
        </w:rPr>
        <w:t>rojekcie</w:t>
      </w:r>
      <w:proofErr w:type="spellEnd"/>
      <w:r w:rsidR="005F1022" w:rsidRPr="00081B4C">
        <w:rPr>
          <w:rFonts w:cs="Arial"/>
          <w:bCs/>
        </w:rPr>
        <w:t xml:space="preserve"> pozostaje na dotychczasowym poziomie.</w:t>
      </w:r>
    </w:p>
    <w:p w14:paraId="1B7F3907" w14:textId="33BC387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 xml:space="preserve">budżecie </w:t>
      </w:r>
      <w:r w:rsidR="003E10AD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rojektu, nie ma możliwości ich przeniesienia na ewentualny wzrost współczynnika proporcji/</w:t>
      </w:r>
      <w:proofErr w:type="spellStart"/>
      <w:r w:rsidRPr="004D3C87">
        <w:rPr>
          <w:rFonts w:cs="Arial"/>
          <w:bCs/>
        </w:rPr>
        <w:t>preproporcji</w:t>
      </w:r>
      <w:proofErr w:type="spellEnd"/>
      <w:r w:rsidRPr="004D3C87">
        <w:rPr>
          <w:rFonts w:cs="Arial"/>
          <w:bCs/>
        </w:rPr>
        <w:t xml:space="preserve">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proofErr w:type="spellStart"/>
      <w:r w:rsidRPr="004D3C87">
        <w:rPr>
          <w:rFonts w:cs="Arial"/>
          <w:bCs/>
        </w:rPr>
        <w:t>rojekcie</w:t>
      </w:r>
      <w:proofErr w:type="spellEnd"/>
      <w:r w:rsidRPr="004D3C87">
        <w:rPr>
          <w:rFonts w:cs="Arial"/>
          <w:bCs/>
        </w:rPr>
        <w:t>.</w:t>
      </w:r>
    </w:p>
    <w:p w14:paraId="0878E4F8" w14:textId="56CFCDEE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</w:t>
      </w:r>
      <w:r w:rsidR="00186751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>współczynnika proporcji/</w:t>
      </w:r>
      <w:proofErr w:type="spellStart"/>
      <w:r w:rsidRPr="004257B5">
        <w:rPr>
          <w:rFonts w:cs="Arial"/>
          <w:bCs/>
        </w:rPr>
        <w:t>preproporcji</w:t>
      </w:r>
      <w:proofErr w:type="spellEnd"/>
      <w:r w:rsidRPr="004257B5">
        <w:rPr>
          <w:rFonts w:cs="Arial"/>
          <w:bCs/>
        </w:rPr>
        <w:t xml:space="preserve"> w zakresie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>.</w:t>
      </w:r>
    </w:p>
    <w:p w14:paraId="5CEF1E1D" w14:textId="76B986DF" w:rsidR="004573C7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sytuacji gdy w trakcie trwania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>.</w:t>
      </w:r>
    </w:p>
    <w:p w14:paraId="105F035A" w14:textId="79E7B4EE" w:rsidR="00FD3955" w:rsidRPr="00FD3955" w:rsidRDefault="00FD3955" w:rsidP="003C5A22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FD3955">
        <w:rPr>
          <w:rFonts w:ascii="Arial" w:hAnsi="Arial" w:cs="Arial"/>
          <w:bCs/>
          <w:lang w:val="x-none" w:eastAsia="en-US"/>
        </w:rPr>
        <w:t xml:space="preserve">Wzrost całkowitej wartości Projektu powyżej 5 mln euro, powodujący zmianę kwalifikowalności podatku VAT, skutkuje zawarciem aneksu do umowy </w:t>
      </w:r>
      <w:r>
        <w:rPr>
          <w:rFonts w:ascii="Arial" w:hAnsi="Arial" w:cs="Arial"/>
          <w:bCs/>
          <w:lang w:val="x-none" w:eastAsia="en-US"/>
        </w:rPr>
        <w:br/>
      </w:r>
      <w:r w:rsidRPr="00FD3955">
        <w:rPr>
          <w:rFonts w:ascii="Arial" w:hAnsi="Arial" w:cs="Arial"/>
          <w:bCs/>
          <w:lang w:val="x-none" w:eastAsia="en-US"/>
        </w:rPr>
        <w:t>o dofinansowanie. Ponowna zmiana całkowitej wartości Projektu poniżej 5 mln euro, nie uprawnia Beneficjenta do kwalifikowania podatku VAT w ramach Projektu.</w:t>
      </w:r>
    </w:p>
    <w:p w14:paraId="5448D072" w14:textId="586E763D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 gdy zachodzi konieczność zwrotu podatku VAT, który stał się kosztem niekwalifikowalnym w </w:t>
      </w:r>
      <w:r w:rsidR="003E10AD">
        <w:rPr>
          <w:rFonts w:cs="Arial"/>
          <w:bCs/>
          <w:lang w:val="pl-PL"/>
        </w:rPr>
        <w:t>P</w:t>
      </w:r>
      <w:proofErr w:type="spellStart"/>
      <w:r w:rsidRPr="004257B5">
        <w:rPr>
          <w:rFonts w:cs="Arial"/>
          <w:bCs/>
        </w:rPr>
        <w:t>rojekcie</w:t>
      </w:r>
      <w:proofErr w:type="spellEnd"/>
      <w:r w:rsidRPr="004257B5">
        <w:rPr>
          <w:rFonts w:cs="Arial"/>
          <w:bCs/>
        </w:rPr>
        <w:t xml:space="preserve">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>w wysokości określonej jak dla zaległości podatkowych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liczonymi od </w:t>
      </w:r>
      <w:r w:rsidRPr="004257B5">
        <w:rPr>
          <w:rFonts w:cs="Arial"/>
          <w:bCs/>
        </w:rPr>
        <w:lastRenderedPageBreak/>
        <w:t xml:space="preserve">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 xml:space="preserve">i trwałości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rojektu.</w:t>
      </w:r>
    </w:p>
    <w:p w14:paraId="5465653B" w14:textId="77777777" w:rsidR="00DD5006" w:rsidRDefault="00DD5006" w:rsidP="003F4888">
      <w:pPr>
        <w:pStyle w:val="Nagwek3"/>
        <w:spacing w:before="0"/>
        <w:rPr>
          <w:rFonts w:cs="Arial"/>
          <w:sz w:val="24"/>
          <w:lang w:eastAsia="pl-PL"/>
        </w:rPr>
      </w:pPr>
    </w:p>
    <w:p w14:paraId="22DE9A09" w14:textId="3B8ABC45" w:rsidR="00BD5188" w:rsidRPr="004257B5" w:rsidRDefault="00836A7C" w:rsidP="003F4888">
      <w:pPr>
        <w:pStyle w:val="Nagwek3"/>
        <w:spacing w:before="0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7BA79849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95B706E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CD6407">
        <w:rPr>
          <w:rFonts w:ascii="Arial" w:eastAsia="Calibri" w:hAnsi="Arial" w:cs="Arial"/>
          <w:bCs/>
          <w:lang w:eastAsia="en-US"/>
        </w:rPr>
        <w:br/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03227655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973153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CF1894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31897614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FD3955">
        <w:rPr>
          <w:rFonts w:ascii="Arial" w:hAnsi="Arial" w:cs="Arial"/>
          <w:bCs/>
          <w:sz w:val="24"/>
          <w:szCs w:val="24"/>
        </w:rPr>
        <w:t>8</w:t>
      </w:r>
      <w:r w:rsidR="003C2C29" w:rsidRPr="008E7BAB">
        <w:rPr>
          <w:rFonts w:ascii="Arial" w:hAnsi="Arial" w:cs="Arial"/>
          <w:bCs/>
          <w:sz w:val="24"/>
          <w:szCs w:val="24"/>
        </w:rPr>
        <w:t>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27437F6" w14:textId="77777777" w:rsidR="00DD5006" w:rsidRDefault="00FD3955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FD3955">
        <w:rPr>
          <w:rFonts w:ascii="Arial" w:hAnsi="Arial" w:cs="Arial"/>
        </w:rPr>
        <w:t xml:space="preserve">Beneficjent zobowiązany jest do przedstawienia informacji o realizacji polityk horyzontalnych oraz Karty Praw Podstawowych i Konwencji o Prawach Osób Niepełnosprawnych zgodnie ze wzorem określonym w załączniku nr 14 do Umowy. </w:t>
      </w:r>
    </w:p>
    <w:p w14:paraId="000F7F2D" w14:textId="4842FBD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</w:t>
      </w:r>
      <w:r w:rsidR="00CD6407">
        <w:rPr>
          <w:rFonts w:ascii="Arial" w:hAnsi="Arial" w:cs="Arial"/>
        </w:rPr>
        <w:t>,</w:t>
      </w:r>
      <w:r w:rsidRPr="004257B5">
        <w:rPr>
          <w:rFonts w:ascii="Arial" w:hAnsi="Arial" w:cs="Arial"/>
        </w:rPr>
        <w:t xml:space="preserve">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lastRenderedPageBreak/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mowy, także 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 xml:space="preserve">/pomocą de </w:t>
      </w:r>
      <w:proofErr w:type="spellStart"/>
      <w:r w:rsidR="00B65DE7" w:rsidRPr="004257B5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14A2A0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5421D0">
        <w:rPr>
          <w:rFonts w:ascii="Arial" w:hAnsi="Arial" w:cs="Arial"/>
          <w:sz w:val="24"/>
          <w:szCs w:val="24"/>
        </w:rPr>
        <w:t xml:space="preserve">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</w:t>
      </w:r>
      <w:r w:rsidR="008A691A" w:rsidRPr="005421D0">
        <w:rPr>
          <w:rFonts w:ascii="Arial" w:hAnsi="Arial" w:cs="Arial"/>
          <w:sz w:val="24"/>
          <w:szCs w:val="24"/>
        </w:rPr>
        <w:t>, pod warunkiem</w:t>
      </w:r>
      <w:r w:rsidR="00BB04D8">
        <w:rPr>
          <w:rFonts w:ascii="Arial" w:hAnsi="Arial" w:cs="Arial"/>
          <w:sz w:val="24"/>
          <w:szCs w:val="24"/>
        </w:rPr>
        <w:t xml:space="preserve"> </w:t>
      </w:r>
      <w:r w:rsidR="008A691A" w:rsidRPr="005421D0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BB04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437F4E6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6"/>
      </w:r>
    </w:p>
    <w:p w14:paraId="58A93C13" w14:textId="5FC3ABE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857E91">
        <w:rPr>
          <w:rFonts w:ascii="Arial" w:hAnsi="Arial" w:cs="Arial"/>
          <w:bCs/>
          <w:sz w:val="24"/>
          <w:szCs w:val="24"/>
        </w:rPr>
        <w:t>18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731C201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eneficjent może złożyć wniosek o płatność częściej niż raz w miesiącu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</w:t>
      </w:r>
      <w:r w:rsidR="004E36E2" w:rsidRPr="00B14E6C">
        <w:rPr>
          <w:rFonts w:ascii="Arial" w:hAnsi="Arial" w:cs="Arial"/>
          <w:bCs/>
          <w:sz w:val="24"/>
          <w:szCs w:val="24"/>
        </w:rPr>
        <w:lastRenderedPageBreak/>
        <w:t>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DB3C83">
        <w:rPr>
          <w:rFonts w:ascii="Arial" w:hAnsi="Arial" w:cs="Arial"/>
          <w:bCs/>
          <w:sz w:val="24"/>
          <w:szCs w:val="24"/>
        </w:rPr>
        <w:br/>
      </w:r>
      <w:r w:rsidR="0057298F" w:rsidRPr="00B14E6C">
        <w:rPr>
          <w:rFonts w:ascii="Arial" w:hAnsi="Arial" w:cs="Arial"/>
          <w:bCs/>
          <w:sz w:val="24"/>
          <w:szCs w:val="24"/>
        </w:rPr>
        <w:t>z uwzględnieniem zapisów 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775EF7B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</w:t>
      </w:r>
      <w:r w:rsidR="00CF1894">
        <w:rPr>
          <w:rFonts w:ascii="Arial" w:hAnsi="Arial" w:cs="Arial"/>
          <w:bCs/>
          <w:sz w:val="24"/>
          <w:szCs w:val="24"/>
        </w:rPr>
        <w:t>,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9B185E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</w:t>
      </w:r>
    </w:p>
    <w:p w14:paraId="1552BDC3" w14:textId="7508ED30" w:rsidR="00BD5188" w:rsidRPr="00B14E6C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7DE8DD8E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B65DE7" w:rsidRPr="00B14E6C">
        <w:rPr>
          <w:rFonts w:ascii="Arial" w:hAnsi="Arial" w:cs="Arial"/>
          <w:sz w:val="24"/>
          <w:szCs w:val="24"/>
        </w:rPr>
        <w:t>minimis</w:t>
      </w:r>
      <w:proofErr w:type="spellEnd"/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Umowy. </w:t>
      </w:r>
    </w:p>
    <w:p w14:paraId="3463EC48" w14:textId="00DF9220" w:rsidR="00BD5188" w:rsidRPr="00DA6DB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DA6DB4">
        <w:rPr>
          <w:rFonts w:ascii="Arial" w:hAnsi="Arial" w:cs="Arial"/>
          <w:bCs/>
          <w:sz w:val="24"/>
          <w:szCs w:val="24"/>
        </w:rPr>
        <w:t xml:space="preserve">CST2021 </w:t>
      </w:r>
      <w:r w:rsidRPr="00DA6DB4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DA6DB4">
        <w:rPr>
          <w:rFonts w:ascii="Arial" w:hAnsi="Arial" w:cs="Arial"/>
          <w:bCs/>
          <w:sz w:val="24"/>
          <w:szCs w:val="24"/>
        </w:rPr>
        <w:t>,</w:t>
      </w:r>
      <w:r w:rsidRPr="00DA6DB4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DA6DB4">
        <w:rPr>
          <w:rFonts w:ascii="Arial" w:hAnsi="Arial" w:cs="Arial"/>
          <w:bCs/>
          <w:sz w:val="24"/>
          <w:szCs w:val="24"/>
        </w:rPr>
        <w:t>z</w:t>
      </w:r>
      <w:r w:rsidR="00AD6D7D" w:rsidRPr="00DA6DB4">
        <w:rPr>
          <w:rFonts w:ascii="Arial" w:hAnsi="Arial" w:cs="Arial"/>
          <w:bCs/>
          <w:sz w:val="24"/>
          <w:szCs w:val="24"/>
        </w:rPr>
        <w:t>ałączniku nr 1</w:t>
      </w:r>
      <w:r w:rsidR="005E4135" w:rsidRPr="00DA6DB4">
        <w:rPr>
          <w:rFonts w:ascii="Arial" w:hAnsi="Arial" w:cs="Arial"/>
          <w:bCs/>
          <w:sz w:val="24"/>
          <w:szCs w:val="24"/>
        </w:rPr>
        <w:t>4</w:t>
      </w:r>
      <w:r w:rsidR="00AD6D7D" w:rsidRPr="00DA6DB4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DA6DB4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DA6DB4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>I</w:t>
      </w:r>
      <w:r w:rsidR="003B708D" w:rsidRPr="00DA6DB4">
        <w:rPr>
          <w:rFonts w:ascii="Arial" w:hAnsi="Arial" w:cs="Arial"/>
          <w:bCs/>
          <w:sz w:val="24"/>
          <w:szCs w:val="24"/>
        </w:rPr>
        <w:t>Z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DA6DB4">
        <w:rPr>
          <w:rFonts w:ascii="Arial" w:hAnsi="Arial" w:cs="Arial"/>
          <w:bCs/>
          <w:sz w:val="24"/>
          <w:szCs w:val="24"/>
        </w:rPr>
        <w:t>FEM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DA6DB4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DA6DB4">
        <w:rPr>
          <w:rFonts w:ascii="Arial" w:hAnsi="Arial" w:cs="Arial"/>
          <w:bCs/>
          <w:sz w:val="24"/>
          <w:szCs w:val="24"/>
        </w:rPr>
        <w:br/>
      </w:r>
      <w:r w:rsidR="0088658E" w:rsidRPr="00DA6DB4">
        <w:rPr>
          <w:rFonts w:ascii="Arial" w:hAnsi="Arial" w:cs="Arial"/>
          <w:bCs/>
          <w:sz w:val="24"/>
          <w:szCs w:val="24"/>
        </w:rPr>
        <w:t>z zastosowaniem metodologii doboru próby dokumentów księgowych.</w:t>
      </w:r>
      <w:r w:rsidR="0088658E">
        <w:rPr>
          <w:rFonts w:ascii="Arial" w:hAnsi="Arial" w:cs="Arial"/>
          <w:bCs/>
          <w:sz w:val="24"/>
          <w:szCs w:val="24"/>
        </w:rPr>
        <w:t xml:space="preserve">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</w:t>
      </w:r>
      <w:r w:rsidR="00857225">
        <w:rPr>
          <w:rFonts w:ascii="Arial" w:hAnsi="Arial" w:cs="Arial"/>
          <w:bCs/>
          <w:sz w:val="24"/>
          <w:szCs w:val="24"/>
        </w:rPr>
        <w:t>w</w:t>
      </w:r>
      <w:r w:rsidR="0088658E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1D1B34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1D1B34">
      <w:pPr>
        <w:numPr>
          <w:ilvl w:val="0"/>
          <w:numId w:val="6"/>
        </w:numPr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3F77A6E8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353E5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857E9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353E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AE2">
        <w:rPr>
          <w:rFonts w:ascii="Arial" w:eastAsia="Times New Roman" w:hAnsi="Arial" w:cs="Arial"/>
          <w:sz w:val="24"/>
          <w:szCs w:val="24"/>
          <w:lang w:eastAsia="pl-PL"/>
        </w:rPr>
        <w:t>Umowy jest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lastRenderedPageBreak/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</w:t>
      </w:r>
      <w:r w:rsidR="00CF1894">
        <w:rPr>
          <w:rFonts w:ascii="Arial" w:hAnsi="Arial" w:cs="Arial"/>
        </w:rPr>
        <w:t>;</w:t>
      </w:r>
    </w:p>
    <w:p w14:paraId="24184713" w14:textId="3624ED4F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</w:t>
      </w:r>
      <w:r w:rsidR="00886F3C">
        <w:rPr>
          <w:rFonts w:ascii="Arial" w:hAnsi="Arial" w:cs="Arial"/>
        </w:rPr>
        <w:t>m</w:t>
      </w:r>
      <w:r w:rsidRPr="007D72A2">
        <w:rPr>
          <w:rFonts w:ascii="Arial" w:hAnsi="Arial" w:cs="Arial"/>
        </w:rPr>
        <w:t xml:space="preserve">inistra właściwego </w:t>
      </w:r>
      <w:r w:rsidR="00886F3C">
        <w:rPr>
          <w:rFonts w:ascii="Arial" w:hAnsi="Arial" w:cs="Arial"/>
        </w:rPr>
        <w:t>ds. funduszy i</w:t>
      </w:r>
      <w:r w:rsidRPr="007D72A2">
        <w:rPr>
          <w:rFonts w:ascii="Arial" w:hAnsi="Arial" w:cs="Arial"/>
        </w:rPr>
        <w:t xml:space="preserve"> rozwoju regionalnego.</w:t>
      </w:r>
    </w:p>
    <w:p w14:paraId="526B7A1B" w14:textId="63ECDEEB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B5DF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003849F9" w14:textId="1883ACC3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0D6E1D69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7B5DF1">
        <w:rPr>
          <w:rFonts w:ascii="Arial" w:hAnsi="Arial" w:cs="Arial"/>
          <w:bCs/>
          <w:sz w:val="24"/>
          <w:szCs w:val="24"/>
        </w:rPr>
        <w:t>5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236564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79C204DC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C023AB" w:rsidRPr="004257B5">
        <w:rPr>
          <w:rFonts w:ascii="Arial" w:hAnsi="Arial" w:cs="Arial"/>
          <w:bCs/>
          <w:sz w:val="24"/>
          <w:szCs w:val="24"/>
        </w:rPr>
        <w:t>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7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 w:rsidR="00F05161">
        <w:rPr>
          <w:rFonts w:ascii="Arial" w:hAnsi="Arial" w:cs="Arial"/>
          <w:bCs/>
          <w:sz w:val="24"/>
          <w:szCs w:val="24"/>
        </w:rPr>
        <w:t>5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>
        <w:rPr>
          <w:rFonts w:ascii="Arial" w:hAnsi="Arial" w:cs="Arial"/>
          <w:bCs/>
          <w:sz w:val="24"/>
          <w:szCs w:val="24"/>
        </w:rPr>
        <w:br/>
      </w:r>
      <w:r w:rsidR="00BD5188" w:rsidRPr="004257B5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66AAE6A5" w:rsidR="00EA4112" w:rsidRPr="00913794" w:rsidRDefault="00BD5188" w:rsidP="00957D8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>kwoty dofinansowania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lastRenderedPageBreak/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FD2321" w:rsidRPr="002A50C8">
        <w:rPr>
          <w:rStyle w:val="Odwoanieprzypisudolnego"/>
          <w:rFonts w:ascii="Arial" w:hAnsi="Arial" w:cs="Arial"/>
          <w:bCs/>
          <w:sz w:val="20"/>
          <w:szCs w:val="20"/>
        </w:rPr>
        <w:footnoteReference w:id="8"/>
      </w:r>
      <w:r w:rsidR="001023C9" w:rsidRPr="002A50C8">
        <w:rPr>
          <w:rFonts w:ascii="Arial" w:hAnsi="Arial" w:cs="Arial"/>
          <w:bCs/>
          <w:sz w:val="20"/>
          <w:szCs w:val="20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69C42445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</w:t>
      </w:r>
      <w:r w:rsidR="002F66BF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C315B0">
        <w:rPr>
          <w:rStyle w:val="Odwoanieprzypisudolnego"/>
          <w:rFonts w:ascii="Arial" w:hAnsi="Arial" w:cs="Arial"/>
          <w:bCs/>
          <w:sz w:val="24"/>
          <w:szCs w:val="24"/>
        </w:rPr>
        <w:footnoteReference w:id="9"/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1467F1F7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FD3955">
        <w:rPr>
          <w:rFonts w:ascii="Arial" w:hAnsi="Arial" w:cs="Arial"/>
          <w:bCs/>
          <w:sz w:val="24"/>
          <w:szCs w:val="24"/>
        </w:rPr>
        <w:t>4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FD3955">
        <w:rPr>
          <w:rFonts w:ascii="Arial" w:hAnsi="Arial" w:cs="Arial"/>
          <w:bCs/>
          <w:sz w:val="24"/>
          <w:szCs w:val="24"/>
        </w:rPr>
        <w:t>3 pkt 4</w:t>
      </w:r>
      <w:r w:rsidR="00BB177D">
        <w:rPr>
          <w:rFonts w:ascii="Arial" w:hAnsi="Arial" w:cs="Arial"/>
          <w:bCs/>
          <w:sz w:val="24"/>
          <w:szCs w:val="24"/>
        </w:rPr>
        <w:t>.</w:t>
      </w:r>
    </w:p>
    <w:p w14:paraId="79C64D3C" w14:textId="6AF95EAC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EA4112" w:rsidRPr="004257B5">
        <w:rPr>
          <w:rFonts w:ascii="Arial" w:hAnsi="Arial" w:cs="Arial"/>
          <w:bCs/>
          <w:sz w:val="24"/>
          <w:szCs w:val="24"/>
        </w:rPr>
        <w:t>ałączniku nr 7 do Umowy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422C9229" w:rsidR="00F2322C" w:rsidRPr="00AE03A6" w:rsidRDefault="007A75AE" w:rsidP="00AE03A6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AE03A6">
        <w:rPr>
          <w:rFonts w:ascii="Arial" w:eastAsia="Calibri" w:hAnsi="Arial" w:cs="Arial"/>
          <w:bCs/>
          <w:lang w:eastAsia="en-US"/>
        </w:rPr>
        <w:t xml:space="preserve">Beneficjent jest zobowiązany do rozliczenia zaliczki rozumianego, jako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zwrot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niewykorzystanej </w:t>
      </w:r>
      <w:r w:rsidRPr="00AE03A6">
        <w:rPr>
          <w:rFonts w:ascii="Arial" w:eastAsia="Calibri" w:hAnsi="Arial" w:cs="Arial"/>
          <w:bCs/>
          <w:lang w:eastAsia="en-US"/>
        </w:rPr>
        <w:t>zaliczki w terminie do 90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10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zaliczki. </w:t>
      </w:r>
      <w:r w:rsidRPr="00AE03A6">
        <w:rPr>
          <w:rFonts w:ascii="Arial" w:eastAsia="Calibri" w:hAnsi="Arial" w:cs="Arial"/>
          <w:bCs/>
          <w:lang w:eastAsia="en-US"/>
        </w:rPr>
        <w:lastRenderedPageBreak/>
        <w:t xml:space="preserve">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11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o płatność</w:t>
      </w:r>
      <w:r w:rsidR="00AE03A6" w:rsidRPr="00AE03A6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27 sierpnia 2009 r. o finansach publicznych. Środki zaliczki podlegają zwrotowi na rachunki bankowe wskazane przez IZ FEM, zgodnie z Tabelą nr 1 </w:t>
      </w:r>
      <w:r w:rsidR="002F66BF" w:rsidRPr="00AE03A6">
        <w:rPr>
          <w:rFonts w:ascii="Arial" w:eastAsia="Calibri" w:hAnsi="Arial" w:cs="Arial"/>
          <w:bCs/>
          <w:lang w:eastAsia="en-US"/>
        </w:rPr>
        <w:t>z</w:t>
      </w:r>
      <w:r w:rsidRPr="00AE03A6">
        <w:rPr>
          <w:rFonts w:ascii="Arial" w:eastAsia="Calibri" w:hAnsi="Arial" w:cs="Arial"/>
          <w:bCs/>
          <w:lang w:eastAsia="en-US"/>
        </w:rPr>
        <w:t xml:space="preserve">ałącznika </w:t>
      </w:r>
      <w:r w:rsidR="00E61516" w:rsidRPr="00AE03A6">
        <w:rPr>
          <w:rFonts w:ascii="Arial" w:eastAsia="Calibri" w:hAnsi="Arial" w:cs="Arial"/>
          <w:bCs/>
          <w:lang w:eastAsia="en-US"/>
        </w:rPr>
        <w:t>n</w:t>
      </w:r>
      <w:r w:rsidRPr="00AE03A6">
        <w:rPr>
          <w:rFonts w:ascii="Arial" w:eastAsia="Calibri" w:hAnsi="Arial" w:cs="Arial"/>
          <w:bCs/>
          <w:lang w:eastAsia="en-US"/>
        </w:rPr>
        <w:t>r 7 do Umowy, z tym że zwrot przekazany na którykolwiek ze wskazanych rachunków IZ FEM będzie uznany za dokonany.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 Przypadki i zasady naliczania odsetek zostały określone </w:t>
      </w:r>
      <w:r w:rsidR="00AE03A6">
        <w:rPr>
          <w:rFonts w:ascii="Arial" w:eastAsia="Calibri" w:hAnsi="Arial" w:cs="Arial"/>
          <w:bCs/>
          <w:lang w:eastAsia="en-US"/>
        </w:rPr>
        <w:br/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w załączniku nr 7 do Umowy. </w:t>
      </w:r>
    </w:p>
    <w:p w14:paraId="7FD70D01" w14:textId="77777777" w:rsidR="00EC067B" w:rsidRPr="008A0C11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C92CB3">
        <w:rPr>
          <w:rFonts w:ascii="Arial" w:hAnsi="Arial" w:cs="Arial"/>
        </w:rPr>
        <w:t xml:space="preserve">W przypadku stwierdzenia okoliczności, o których mowa w ust. 38, IZ FEM wzywa Beneficjenta, zgodnie z art. 189 ust. 3a ustawy z dnia 27 sierpnia 2009 r.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finansach publicznych, do zapłaty odsetek lub wyrażenia zgody na pomniejszenie kolejnych płatności, w terminie 14 dni od dnia doręczenia wezwania. Po bezskutecznym upływie ww. terminu, IZ FEM wydaje decyzję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zapłacie odsetek określającą kwotę środków, od których nalicza się odsetki oraz termin, od którego nalicza się odsetki, a także sposób ich zapłaty. </w:t>
      </w:r>
      <w:r>
        <w:rPr>
          <w:rFonts w:ascii="Arial" w:hAnsi="Arial" w:cs="Arial"/>
        </w:rPr>
        <w:t xml:space="preserve">Zapłata odsetek może zostać dokonana przez pomniejszenie kolejnej płatności na rzecz Beneficjenta o kwotę należnych odsetek. </w:t>
      </w:r>
      <w:r w:rsidRPr="00C92CB3">
        <w:rPr>
          <w:rFonts w:ascii="Arial" w:hAnsi="Arial" w:cs="Arial"/>
        </w:rPr>
        <w:t>Decyzji o zapłacie odsetek nie wydaje się, jeżeli przed jej wydaniem dokonano zapłaty odsetek oraz rozliczono środki, od których te odsetki zostały naliczone.</w:t>
      </w:r>
    </w:p>
    <w:p w14:paraId="57F0C8E8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 xml:space="preserve">Jeżeli Beneficjent nie zgadza się z decyzją,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 xml:space="preserve">, może zwrócić się do IZ FEM z wnioskiem o ponowne rozpatrzenie sprawy w terminie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14 dni od dnia jej doręczenia, zgodnie z art. </w:t>
      </w:r>
      <w:r>
        <w:rPr>
          <w:rFonts w:ascii="Arial" w:hAnsi="Arial" w:cs="Arial"/>
          <w:bCs/>
          <w:sz w:val="24"/>
          <w:szCs w:val="24"/>
        </w:rPr>
        <w:t>189</w:t>
      </w:r>
      <w:r w:rsidRPr="00D46BED">
        <w:rPr>
          <w:rFonts w:ascii="Arial" w:hAnsi="Arial" w:cs="Arial"/>
          <w:bCs/>
          <w:sz w:val="24"/>
          <w:szCs w:val="24"/>
        </w:rPr>
        <w:t xml:space="preserve"> ust. </w:t>
      </w:r>
      <w:r>
        <w:rPr>
          <w:rFonts w:ascii="Arial" w:hAnsi="Arial" w:cs="Arial"/>
          <w:bCs/>
          <w:sz w:val="24"/>
          <w:szCs w:val="24"/>
        </w:rPr>
        <w:t>3e zdanie drugie</w:t>
      </w:r>
      <w:r w:rsidRPr="00D46BED">
        <w:rPr>
          <w:rFonts w:ascii="Arial" w:hAnsi="Arial" w:cs="Arial"/>
          <w:bCs/>
          <w:sz w:val="24"/>
          <w:szCs w:val="24"/>
        </w:rPr>
        <w:t xml:space="preserve"> ustawy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z dnia 27 sierpnia 2009 r. o finansach publicznych. Jeżeli Beneficjent nie chce skorzystać z prawa do zwrócenia się z wnioskiem o po</w:t>
      </w:r>
      <w:r>
        <w:rPr>
          <w:rFonts w:ascii="Arial" w:hAnsi="Arial" w:cs="Arial"/>
          <w:bCs/>
          <w:sz w:val="24"/>
          <w:szCs w:val="24"/>
        </w:rPr>
        <w:t>nowne rozpatrzenie sprawy, może,</w:t>
      </w:r>
      <w:r w:rsidRPr="00D46BED">
        <w:rPr>
          <w:rFonts w:ascii="Arial" w:hAnsi="Arial" w:cs="Arial"/>
          <w:bCs/>
          <w:sz w:val="24"/>
          <w:szCs w:val="24"/>
        </w:rPr>
        <w:t xml:space="preserve"> zgodnie z art. 52 § 3 ustawy z dnia 30 sierpnia 2002 r. Prawo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o postępowaniu przed sądami administracyjnymi, za pośrednictwem IZ FEM, wnieść skargę do Wojewódzkiego Sądu Administracyjnego w Krakowie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w terminie 30 dni od dnia doręczenia decyzji,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>.</w:t>
      </w:r>
    </w:p>
    <w:p w14:paraId="57C145F7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Na decyzję wydaną przez IZ FEM po ponownym rozpatrzeniu sprawy przysługuje skarga do Wojewódzkiego Sądu Administracyjnego w Krakowie. Skargę wnosi się za pośrednictwem IZ FEM w terminie 30 dni od dnia doręczenia decyzji wydanej po ponownym rozpatrzeniu sprawy.</w:t>
      </w:r>
    </w:p>
    <w:p w14:paraId="308C3B97" w14:textId="77777777" w:rsidR="00EC067B" w:rsidRPr="00D76325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D46BED">
        <w:rPr>
          <w:rFonts w:ascii="Arial" w:hAnsi="Arial" w:cs="Arial"/>
        </w:rPr>
        <w:t xml:space="preserve">W przypadku gdy Beneficjent nie dokona </w:t>
      </w:r>
      <w:r>
        <w:rPr>
          <w:rFonts w:ascii="Arial" w:hAnsi="Arial" w:cs="Arial"/>
        </w:rPr>
        <w:t>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niezwłocznie po otrzymaniu</w:t>
      </w:r>
      <w:r w:rsidRPr="00D76325">
        <w:rPr>
          <w:rFonts w:ascii="Arial" w:hAnsi="Arial" w:cs="Arial"/>
        </w:rPr>
        <w:t xml:space="preserve"> ostatecznej decyzji, o której mowa w ust. 39 albo w ust. 41,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 xml:space="preserve">IZ FEM podejmie czynności zmierzające do </w:t>
      </w:r>
      <w:r>
        <w:rPr>
          <w:rFonts w:ascii="Arial" w:hAnsi="Arial" w:cs="Arial"/>
        </w:rPr>
        <w:t>wyegzekwowania 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>z wykorzystaniem dostępnych środków prawnych.</w:t>
      </w:r>
    </w:p>
    <w:p w14:paraId="0A963C14" w14:textId="77777777" w:rsidR="00EC067B" w:rsidRPr="00A80C98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A80C98">
        <w:rPr>
          <w:rFonts w:ascii="Arial" w:eastAsia="Calibri" w:hAnsi="Arial" w:cs="Arial"/>
          <w:bCs/>
          <w:lang w:eastAsia="en-US"/>
        </w:rPr>
        <w:lastRenderedPageBreak/>
        <w:t>Ostateczn</w:t>
      </w:r>
      <w:r>
        <w:rPr>
          <w:rFonts w:ascii="Arial" w:eastAsia="Calibri" w:hAnsi="Arial" w:cs="Arial"/>
          <w:bCs/>
          <w:lang w:eastAsia="en-US"/>
        </w:rPr>
        <w:t>y</w:t>
      </w:r>
      <w:r w:rsidRPr="00A80C98">
        <w:rPr>
          <w:rFonts w:ascii="Arial" w:eastAsia="Calibri" w:hAnsi="Arial" w:cs="Arial"/>
          <w:bCs/>
          <w:lang w:eastAsia="en-US"/>
        </w:rPr>
        <w:t xml:space="preserve"> zwrot </w:t>
      </w:r>
      <w:r>
        <w:rPr>
          <w:rFonts w:ascii="Arial" w:eastAsia="Calibri" w:hAnsi="Arial" w:cs="Arial"/>
          <w:bCs/>
          <w:lang w:eastAsia="en-US"/>
        </w:rPr>
        <w:t xml:space="preserve">niewykorzystanej </w:t>
      </w:r>
      <w:r w:rsidRPr="00A80C98">
        <w:rPr>
          <w:rFonts w:ascii="Arial" w:eastAsia="Calibri" w:hAnsi="Arial" w:cs="Arial"/>
          <w:bCs/>
          <w:lang w:eastAsia="en-US"/>
        </w:rPr>
        <w:t>zaliczki powinien nastąpić do dnia złożenia wniosku o płatność końcową, z zastrzeżeniem ust. 38.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47132054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61516">
        <w:rPr>
          <w:rFonts w:ascii="Arial" w:hAnsi="Arial" w:cs="Arial"/>
          <w:bCs/>
          <w:sz w:val="24"/>
          <w:szCs w:val="24"/>
        </w:rPr>
        <w:t>n</w:t>
      </w:r>
      <w:r w:rsidRPr="004257B5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będzie uznany za dokonany. Powyższe postanowienie nie 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37373A35" w:rsidR="00F14C89" w:rsidRPr="00D92DD4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7908B004" w14:textId="77777777" w:rsidR="00D92DD4" w:rsidRPr="00D46BED" w:rsidRDefault="00D92DD4" w:rsidP="00D92DD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W sprawach nieuregulowanych ustawą z dnia 27 sierpnia 2009 r. o finansach publicz</w:t>
      </w:r>
      <w:r>
        <w:rPr>
          <w:rFonts w:ascii="Arial" w:hAnsi="Arial" w:cs="Arial"/>
          <w:bCs/>
          <w:sz w:val="24"/>
          <w:szCs w:val="24"/>
        </w:rPr>
        <w:t>nych do zagadnień związanych z obowiązkiem zapłaty odsetek</w:t>
      </w:r>
      <w:r w:rsidRPr="00D46B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 tytułu nieterminowego rozliczenia zaliczki </w:t>
      </w:r>
      <w:r w:rsidRPr="00D46BED">
        <w:rPr>
          <w:rFonts w:ascii="Arial" w:hAnsi="Arial" w:cs="Arial"/>
          <w:bCs/>
          <w:sz w:val="24"/>
          <w:szCs w:val="24"/>
        </w:rPr>
        <w:t xml:space="preserve">stosuje się na mocy art. 67 ustawy z dnia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27 sierpnia 2009 r. o finansach publicznych przepisy ustawy z dnia 14 czerwca 1960 r. Kodeks postępowania administracyjnego oraz odpowiednio przepisy Działu III ustawy z dnia 29 sierpnia 1997 r. Ordynacja podatkowa.</w:t>
      </w:r>
    </w:p>
    <w:p w14:paraId="45EDDE09" w14:textId="77777777" w:rsidR="00D92DD4" w:rsidRPr="002E4638" w:rsidRDefault="00D92DD4" w:rsidP="00D92DD4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="Arial" w:hAnsi="Arial" w:cs="Arial"/>
          <w:lang w:val="x-none"/>
        </w:rPr>
      </w:pPr>
      <w:r>
        <w:rPr>
          <w:rFonts w:ascii="Arial" w:eastAsia="Calibri" w:hAnsi="Arial" w:cs="Arial"/>
          <w:bCs/>
        </w:rPr>
        <w:t>IZ FEM</w:t>
      </w:r>
      <w:r w:rsidRPr="00D46BED">
        <w:rPr>
          <w:rFonts w:ascii="Arial" w:eastAsia="Calibri" w:hAnsi="Arial" w:cs="Arial"/>
          <w:bCs/>
        </w:rPr>
        <w:t xml:space="preserve"> w zakresie </w:t>
      </w:r>
      <w:r>
        <w:rPr>
          <w:rFonts w:ascii="Arial" w:eastAsia="Calibri" w:hAnsi="Arial" w:cs="Arial"/>
          <w:bCs/>
        </w:rPr>
        <w:t>dochodzenia</w:t>
      </w:r>
      <w:r w:rsidRPr="00D46BED">
        <w:rPr>
          <w:rFonts w:ascii="Arial" w:eastAsia="Calibri" w:hAnsi="Arial" w:cs="Arial"/>
          <w:bCs/>
        </w:rPr>
        <w:t xml:space="preserve"> należnych </w:t>
      </w:r>
      <w:r>
        <w:rPr>
          <w:rFonts w:ascii="Arial" w:eastAsia="Calibri" w:hAnsi="Arial" w:cs="Arial"/>
          <w:bCs/>
        </w:rPr>
        <w:t>odsetek</w:t>
      </w:r>
      <w:r w:rsidRPr="00D46BED">
        <w:rPr>
          <w:rFonts w:ascii="Arial" w:eastAsia="Calibri" w:hAnsi="Arial" w:cs="Arial"/>
          <w:bCs/>
        </w:rPr>
        <w:t xml:space="preserve"> może skorzystać </w:t>
      </w:r>
      <w:r>
        <w:rPr>
          <w:rFonts w:ascii="Arial" w:eastAsia="Calibri" w:hAnsi="Arial" w:cs="Arial"/>
          <w:bCs/>
        </w:rPr>
        <w:br/>
      </w:r>
      <w:r w:rsidRPr="00D46BED">
        <w:rPr>
          <w:rFonts w:ascii="Arial" w:eastAsia="Calibri" w:hAnsi="Arial" w:cs="Arial"/>
          <w:bCs/>
        </w:rPr>
        <w:t xml:space="preserve">z zabezpieczenia, o którym mowa w </w:t>
      </w:r>
      <w:r>
        <w:rPr>
          <w:rFonts w:ascii="Arial" w:eastAsia="Calibri" w:hAnsi="Arial" w:cs="Arial"/>
          <w:bCs/>
        </w:rPr>
        <w:t>z</w:t>
      </w:r>
      <w:r w:rsidRPr="00D46BED">
        <w:rPr>
          <w:rFonts w:ascii="Arial" w:eastAsia="Calibri" w:hAnsi="Arial" w:cs="Arial"/>
          <w:bCs/>
        </w:rPr>
        <w:t>ałączniku nr 13 do Umowy.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665DB9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271EE5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>
        <w:rPr>
          <w:rFonts w:ascii="Arial" w:hAnsi="Arial" w:cs="Arial"/>
          <w:bCs/>
          <w:sz w:val="24"/>
          <w:szCs w:val="24"/>
        </w:rPr>
        <w:br/>
      </w:r>
      <w:r w:rsidR="00052D10">
        <w:rPr>
          <w:rFonts w:ascii="Arial" w:hAnsi="Arial" w:cs="Arial"/>
          <w:bCs/>
          <w:sz w:val="24"/>
          <w:szCs w:val="24"/>
        </w:rPr>
        <w:lastRenderedPageBreak/>
        <w:t>w § 1 pkt 19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</w:t>
      </w:r>
      <w:r w:rsidR="00505FED">
        <w:rPr>
          <w:rFonts w:ascii="Arial" w:hAnsi="Arial" w:cs="Arial"/>
          <w:bCs/>
          <w:sz w:val="24"/>
          <w:szCs w:val="24"/>
        </w:rPr>
        <w:t>z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12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372F7FE1" w14:textId="15BEF164" w:rsidR="00863E58" w:rsidRDefault="00BD5188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593F3E60" w14:textId="77777777" w:rsidR="00863E58" w:rsidRPr="00863E58" w:rsidRDefault="00863E58" w:rsidP="009B235C">
      <w:pPr>
        <w:spacing w:after="120"/>
        <w:ind w:left="426"/>
        <w:rPr>
          <w:rFonts w:ascii="Arial" w:hAnsi="Arial" w:cs="Arial"/>
          <w:bCs/>
          <w:sz w:val="24"/>
          <w:szCs w:val="24"/>
        </w:rPr>
      </w:pPr>
    </w:p>
    <w:p w14:paraId="439CC81A" w14:textId="0F575FB5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458CC983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o dofinansowanie Projektu, przepisami prawa wspólnotowego i krajowego, zasadami Programu oraz stwierdzenia osiągnięcia zakładanych produktów </w:t>
      </w:r>
      <w:r w:rsidR="00505FED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B261AE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B261AE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EA2F1A">
        <w:rPr>
          <w:rFonts w:ascii="Arial" w:hAnsi="Arial" w:cs="Arial"/>
          <w:bCs/>
          <w:sz w:val="24"/>
          <w:szCs w:val="24"/>
        </w:rPr>
        <w:t xml:space="preserve">2021-2027, </w:t>
      </w:r>
      <w:r w:rsidRPr="004257B5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4DDBBC35" w14:textId="458662B0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7B5DF1">
        <w:rPr>
          <w:rFonts w:ascii="Arial" w:hAnsi="Arial" w:cs="Arial"/>
          <w:bCs/>
          <w:sz w:val="24"/>
          <w:szCs w:val="24"/>
        </w:rPr>
        <w:t>5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3F4888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lastRenderedPageBreak/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507E57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ałącznik nr 2 do Umowy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507E57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A64E9B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49CB2ED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9C58C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Umowie</w:t>
      </w:r>
      <w:r w:rsidR="00EA2F1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01F464EB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9C58CA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095BF7AA" w14:textId="77777777" w:rsidR="00D466E9" w:rsidRDefault="00D466E9" w:rsidP="003F4888">
      <w:pPr>
        <w:pStyle w:val="Nagwek3"/>
        <w:spacing w:before="0"/>
        <w:rPr>
          <w:rFonts w:cs="Arial"/>
          <w:sz w:val="24"/>
          <w:lang w:eastAsia="pl-PL"/>
        </w:rPr>
      </w:pPr>
    </w:p>
    <w:p w14:paraId="28DFBBFB" w14:textId="36522B82" w:rsidR="009D35F9" w:rsidRPr="004257B5" w:rsidRDefault="00517750" w:rsidP="003F4888">
      <w:pPr>
        <w:pStyle w:val="Nagwek3"/>
        <w:spacing w:before="0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2CD056DC" w14:textId="65B18C95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25BFFC8B" w14:textId="77777777" w:rsidR="00D96DFC" w:rsidRPr="009B235C" w:rsidRDefault="000A05D1" w:rsidP="00D96DFC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A15B235" w:rsidR="00665AEE" w:rsidRDefault="00D96DFC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EC3049">
        <w:rPr>
          <w:rFonts w:cs="Arial"/>
          <w:iCs/>
          <w:sz w:val="24"/>
        </w:rPr>
        <w:lastRenderedPageBreak/>
        <w:t>4.</w:t>
      </w:r>
      <w:r>
        <w:rPr>
          <w:rFonts w:cs="Arial"/>
          <w:iCs/>
        </w:rPr>
        <w:t xml:space="preserve"> </w:t>
      </w:r>
      <w:r w:rsidRPr="009B235C">
        <w:rPr>
          <w:rFonts w:eastAsia="Times New Roman" w:cs="Arial"/>
          <w:iCs/>
          <w:sz w:val="24"/>
          <w:lang w:eastAsia="pl-PL"/>
        </w:rPr>
        <w:t>W przypadku gdy Beneficjent wnioskuje o wypłatę</w:t>
      </w:r>
      <w:r w:rsidRPr="00D96DFC">
        <w:rPr>
          <w:rFonts w:cs="Arial"/>
          <w:iCs/>
        </w:rPr>
        <w:t xml:space="preserve"> </w:t>
      </w:r>
      <w:r w:rsidRPr="00EC3049">
        <w:rPr>
          <w:rFonts w:cs="Arial"/>
          <w:iCs/>
          <w:sz w:val="24"/>
        </w:rPr>
        <w:t>zaliczki w o</w:t>
      </w:r>
      <w:r w:rsidRPr="00EC3049">
        <w:rPr>
          <w:rFonts w:eastAsia="Times New Roman" w:cs="Arial"/>
          <w:iCs/>
          <w:sz w:val="24"/>
          <w:lang w:eastAsia="pl-PL"/>
        </w:rPr>
        <w:t>p</w:t>
      </w:r>
      <w:r w:rsidRPr="00EC3049">
        <w:rPr>
          <w:rFonts w:cs="Arial"/>
          <w:iCs/>
          <w:sz w:val="24"/>
        </w:rPr>
        <w:t>a</w:t>
      </w:r>
      <w:r w:rsidRPr="00EC3049">
        <w:rPr>
          <w:rFonts w:eastAsia="Times New Roman" w:cs="Arial"/>
          <w:iCs/>
          <w:sz w:val="24"/>
          <w:lang w:eastAsia="pl-PL"/>
        </w:rPr>
        <w:t>rciu o</w:t>
      </w:r>
      <w:r w:rsidRPr="009B235C">
        <w:rPr>
          <w:rFonts w:eastAsia="Times New Roman" w:cs="Arial"/>
          <w:iCs/>
          <w:sz w:val="24"/>
          <w:lang w:eastAsia="pl-PL"/>
        </w:rPr>
        <w:t xml:space="preserve"> zapisy </w:t>
      </w:r>
      <w:r w:rsidR="00990CEC">
        <w:rPr>
          <w:rFonts w:eastAsia="Times New Roman" w:cs="Arial"/>
          <w:iCs/>
          <w:sz w:val="24"/>
          <w:lang w:eastAsia="pl-PL"/>
        </w:rPr>
        <w:br/>
      </w:r>
      <w:r w:rsidRPr="009B235C">
        <w:rPr>
          <w:rFonts w:eastAsia="Times New Roman" w:cs="Arial"/>
          <w:iCs/>
          <w:sz w:val="24"/>
          <w:lang w:eastAsia="pl-PL"/>
        </w:rPr>
        <w:t>art. 91</w:t>
      </w:r>
      <w:r w:rsidR="00990CEC">
        <w:rPr>
          <w:rFonts w:eastAsia="Times New Roman" w:cs="Arial"/>
          <w:iCs/>
          <w:sz w:val="24"/>
          <w:lang w:eastAsia="pl-PL"/>
        </w:rPr>
        <w:t xml:space="preserve"> ust. 5</w:t>
      </w:r>
      <w:r w:rsidRPr="009B235C">
        <w:rPr>
          <w:rFonts w:eastAsia="Times New Roman" w:cs="Arial"/>
          <w:iCs/>
          <w:sz w:val="24"/>
          <w:lang w:eastAsia="pl-PL"/>
        </w:rPr>
        <w:t xml:space="preserve"> Rozporządzenia Parlamentu Europejskiego i Rady (UE) nr 2021/1060 </w:t>
      </w:r>
      <w:r w:rsidR="00990CEC">
        <w:rPr>
          <w:rFonts w:eastAsia="Times New Roman" w:cs="Arial"/>
          <w:iCs/>
          <w:sz w:val="24"/>
          <w:lang w:eastAsia="pl-PL"/>
        </w:rPr>
        <w:br/>
      </w:r>
      <w:r w:rsidRPr="009B235C">
        <w:rPr>
          <w:rFonts w:eastAsia="Times New Roman" w:cs="Arial"/>
          <w:iCs/>
          <w:sz w:val="24"/>
          <w:lang w:eastAsia="pl-PL"/>
        </w:rPr>
        <w:t>z dnia 24 czerwca 2021 r., zobowiązany jest do złożenia gwarancji udzielonej przez bank lub inną instytucję finansową mające siedzibę w państwie członkowskim lub są objęte instrumentem przewidzianym jako gwarancja przez podmiot publiczny lub państwo członkowskie, niezależnie od zabezpieczenia, o którym mowa w załączniku nr 13 do</w:t>
      </w:r>
      <w:r>
        <w:rPr>
          <w:rFonts w:cs="Arial"/>
          <w:iCs/>
        </w:rPr>
        <w:t xml:space="preserve"> </w:t>
      </w:r>
      <w:r w:rsidRPr="009B235C">
        <w:rPr>
          <w:rFonts w:eastAsia="Times New Roman" w:cs="Arial"/>
          <w:iCs/>
          <w:sz w:val="24"/>
          <w:lang w:eastAsia="pl-PL"/>
        </w:rPr>
        <w:t>Umowy.</w:t>
      </w:r>
    </w:p>
    <w:p w14:paraId="6F9208F9" w14:textId="259C9E36" w:rsidR="00FD2FEF" w:rsidRPr="00FD2FEF" w:rsidRDefault="00FD2FEF" w:rsidP="003F4888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B4027E2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</w:t>
      </w:r>
      <w:r w:rsidR="00DB3C83">
        <w:rPr>
          <w:rFonts w:cs="Arial"/>
          <w:bCs/>
          <w:lang w:val="pl-PL"/>
        </w:rPr>
        <w:t xml:space="preserve"> </w:t>
      </w:r>
      <w:r w:rsidR="00DB3C83" w:rsidRPr="00973153">
        <w:rPr>
          <w:rFonts w:cs="Arial"/>
          <w:bCs/>
          <w:lang w:val="pl-PL"/>
        </w:rPr>
        <w:t>Umowy</w:t>
      </w:r>
      <w:r w:rsidR="00910AC9" w:rsidRPr="00973153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proofErr w:type="spellStart"/>
      <w:r w:rsidRPr="004257B5">
        <w:rPr>
          <w:rFonts w:cs="Arial"/>
        </w:rPr>
        <w:t>rojekcie</w:t>
      </w:r>
      <w:proofErr w:type="spellEnd"/>
      <w:r w:rsidRPr="004257B5">
        <w:rPr>
          <w:rFonts w:cs="Arial"/>
        </w:rPr>
        <w:t>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705B834F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1FD7387" w14:textId="05826C89" w:rsidR="002B5136" w:rsidRPr="00A85776" w:rsidRDefault="002B5136" w:rsidP="003C5A22">
      <w:pPr>
        <w:pStyle w:val="Tekstpodstawowy"/>
        <w:spacing w:line="276" w:lineRule="auto"/>
        <w:ind w:left="360"/>
        <w:jc w:val="left"/>
        <w:rPr>
          <w:rFonts w:cs="Arial"/>
        </w:rPr>
      </w:pPr>
      <w:bookmarkStart w:id="1" w:name="RANGE!H1:W25"/>
      <w:bookmarkEnd w:id="1"/>
    </w:p>
    <w:sectPr w:rsidR="002B5136" w:rsidRPr="00A85776" w:rsidSect="008D392C">
      <w:footerReference w:type="default" r:id="rId8"/>
      <w:headerReference w:type="first" r:id="rId9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EA8AA" w14:textId="77777777" w:rsidR="007B2A0D" w:rsidRDefault="007B2A0D" w:rsidP="00BD5188">
      <w:pPr>
        <w:spacing w:after="0" w:line="240" w:lineRule="auto"/>
      </w:pPr>
      <w:r>
        <w:separator/>
      </w:r>
    </w:p>
  </w:endnote>
  <w:endnote w:type="continuationSeparator" w:id="0">
    <w:p w14:paraId="2D8EFEFF" w14:textId="77777777" w:rsidR="007B2A0D" w:rsidRDefault="007B2A0D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174D081D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9BC">
          <w:rPr>
            <w:noProof/>
          </w:rPr>
          <w:t>2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6633B" w14:textId="77777777" w:rsidR="007B2A0D" w:rsidRDefault="007B2A0D" w:rsidP="00BD5188">
      <w:pPr>
        <w:spacing w:after="0" w:line="240" w:lineRule="auto"/>
      </w:pPr>
      <w:r>
        <w:separator/>
      </w:r>
    </w:p>
  </w:footnote>
  <w:footnote w:type="continuationSeparator" w:id="0">
    <w:p w14:paraId="16AFA81B" w14:textId="77777777" w:rsidR="007B2A0D" w:rsidRDefault="007B2A0D" w:rsidP="00BD5188">
      <w:pPr>
        <w:spacing w:after="0" w:line="240" w:lineRule="auto"/>
      </w:pPr>
      <w:r>
        <w:continuationSeparator/>
      </w:r>
    </w:p>
  </w:footnote>
  <w:footnote w:id="1">
    <w:p w14:paraId="590C827C" w14:textId="1759BEB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9829BC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69AE35A3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3372C7" w:rsidRPr="003372C7">
        <w:rPr>
          <w:rFonts w:ascii="Arial" w:hAnsi="Arial" w:cs="Arial"/>
          <w:sz w:val="16"/>
          <w:szCs w:val="16"/>
          <w:lang w:val="pl-PL"/>
        </w:rPr>
        <w:t xml:space="preserve">udzieloną na podstawie Rozporządzenia Komisji (UE) nr 651/2014 z dnia </w:t>
      </w:r>
      <w:r w:rsidR="009829BC">
        <w:rPr>
          <w:rFonts w:ascii="Arial" w:hAnsi="Arial" w:cs="Arial"/>
          <w:sz w:val="16"/>
          <w:szCs w:val="16"/>
          <w:lang w:val="pl-PL"/>
        </w:rPr>
        <w:br/>
      </w:r>
      <w:r w:rsidR="003372C7" w:rsidRPr="003372C7">
        <w:rPr>
          <w:rFonts w:ascii="Arial" w:hAnsi="Arial" w:cs="Arial"/>
          <w:sz w:val="16"/>
          <w:szCs w:val="16"/>
          <w:lang w:val="pl-PL"/>
        </w:rPr>
        <w:t>17 czerwca 2014 r. uznającego niektóre rodzaje pomocy za zgodne z rynkiem wewnętrznym w zastosowaniu art. 107 i 108 Traktatu (Dz. Urz. UE L 187 z 26.06.2014, z późn. zm.)</w:t>
      </w:r>
      <w:r w:rsidRPr="00E57FD9">
        <w:rPr>
          <w:rFonts w:ascii="Arial" w:hAnsi="Arial" w:cs="Arial"/>
          <w:sz w:val="16"/>
          <w:szCs w:val="16"/>
          <w:lang w:val="pl-PL"/>
        </w:rPr>
        <w:t>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7E575E65" w14:textId="585698FE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0A3F39">
        <w:rPr>
          <w:rFonts w:ascii="Arial" w:hAnsi="Arial" w:cs="Arial"/>
          <w:sz w:val="16"/>
          <w:szCs w:val="16"/>
          <w:lang w:val="pl-PL"/>
        </w:rPr>
        <w:t>E</w:t>
      </w:r>
      <w:r w:rsidR="00CB5E4E">
        <w:rPr>
          <w:rFonts w:ascii="Arial" w:hAnsi="Arial" w:cs="Arial"/>
          <w:sz w:val="16"/>
          <w:szCs w:val="16"/>
          <w:lang w:val="pl-PL"/>
        </w:rPr>
        <w:t xml:space="preserve">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7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455F3D47" w14:textId="2081CE53" w:rsidR="00FD2321" w:rsidRPr="00D466E9" w:rsidRDefault="00FD232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D466E9">
        <w:rPr>
          <w:rStyle w:val="Odwoanieprzypisudolnego"/>
          <w:rFonts w:ascii="Arial" w:hAnsi="Arial" w:cs="Arial"/>
          <w:sz w:val="16"/>
          <w:szCs w:val="16"/>
        </w:rPr>
        <w:footnoteRef/>
      </w:r>
      <w:r w:rsidR="009B235C">
        <w:rPr>
          <w:rFonts w:ascii="Arial" w:hAnsi="Arial" w:cs="Arial"/>
          <w:sz w:val="16"/>
          <w:szCs w:val="16"/>
          <w:lang w:val="pl-PL"/>
        </w:rPr>
        <w:t xml:space="preserve"> </w:t>
      </w:r>
      <w:r w:rsidRPr="00FD2321">
        <w:rPr>
          <w:rFonts w:ascii="Arial" w:hAnsi="Arial" w:cs="Arial"/>
          <w:sz w:val="16"/>
          <w:szCs w:val="16"/>
        </w:rPr>
        <w:t xml:space="preserve">Maksymalna wysokość zaliczki nie dotyczy Beneficjentów będących podmiotem świadczącym usługi publiczne lub usługi </w:t>
      </w:r>
      <w:r>
        <w:rPr>
          <w:rFonts w:ascii="Arial" w:hAnsi="Arial" w:cs="Arial"/>
          <w:sz w:val="16"/>
          <w:szCs w:val="16"/>
        </w:rPr>
        <w:br/>
      </w:r>
      <w:r w:rsidRPr="00FD2321">
        <w:rPr>
          <w:rFonts w:ascii="Arial" w:hAnsi="Arial" w:cs="Arial"/>
          <w:sz w:val="16"/>
          <w:szCs w:val="16"/>
        </w:rPr>
        <w:t>w ogólnym interesie gospodarczym, o których mowa w art. 93 i art. 106 ust. 2 Traktatu o funkcjonowaniu Unii Europejskiej, lub instytutem badawczym w rozumieniu art. 1 ust. 1 ustawy z dnia 30 kwietnia 2010 r. o instytutach badawczych.</w:t>
      </w:r>
    </w:p>
  </w:footnote>
  <w:footnote w:id="9">
    <w:p w14:paraId="24B04821" w14:textId="2F99ABC5" w:rsidR="00C315B0" w:rsidRPr="009B235C" w:rsidRDefault="002746EF" w:rsidP="00D96DFC">
      <w:pPr>
        <w:pStyle w:val="Tekstprzypisudolnego"/>
        <w:rPr>
          <w:lang w:val="pl-PL"/>
        </w:rPr>
      </w:pPr>
      <w:r>
        <w:rPr>
          <w:rFonts w:ascii="Arial" w:hAnsi="Arial" w:cs="Arial"/>
          <w:sz w:val="16"/>
          <w:szCs w:val="16"/>
          <w:vertAlign w:val="superscript"/>
          <w:lang w:val="pl-PL"/>
        </w:rPr>
        <w:t>9</w:t>
      </w:r>
      <w:r w:rsidR="009B235C"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 w:rsidR="00C315B0" w:rsidRPr="009B235C">
        <w:rPr>
          <w:rFonts w:ascii="Arial" w:hAnsi="Arial" w:cs="Arial"/>
          <w:sz w:val="16"/>
          <w:szCs w:val="16"/>
        </w:rPr>
        <w:t xml:space="preserve">Nie dotyczy zaliczek, o których mowa w art. 91 </w:t>
      </w:r>
      <w:r w:rsidR="009103AE">
        <w:rPr>
          <w:rFonts w:ascii="Arial" w:hAnsi="Arial" w:cs="Arial"/>
          <w:sz w:val="16"/>
          <w:szCs w:val="16"/>
          <w:lang w:val="pl-PL"/>
        </w:rPr>
        <w:t xml:space="preserve">ust. 5 </w:t>
      </w:r>
      <w:r w:rsidR="00C315B0" w:rsidRPr="009B235C">
        <w:rPr>
          <w:rFonts w:ascii="Arial" w:hAnsi="Arial" w:cs="Arial"/>
          <w:sz w:val="16"/>
          <w:szCs w:val="16"/>
        </w:rPr>
        <w:t xml:space="preserve">Rozporządzenia Parlamentu Europejskiego i Rady (UE) nr 2021/1060 </w:t>
      </w:r>
      <w:r w:rsidR="009103AE">
        <w:rPr>
          <w:rFonts w:ascii="Arial" w:hAnsi="Arial" w:cs="Arial"/>
          <w:sz w:val="16"/>
          <w:szCs w:val="16"/>
        </w:rPr>
        <w:br/>
      </w:r>
      <w:r w:rsidR="00C315B0" w:rsidRPr="009B235C">
        <w:rPr>
          <w:rFonts w:ascii="Arial" w:hAnsi="Arial" w:cs="Arial"/>
          <w:sz w:val="16"/>
          <w:szCs w:val="16"/>
        </w:rPr>
        <w:t xml:space="preserve">z dnia 24 czerwca 2021 r. </w:t>
      </w:r>
      <w:r w:rsidR="00D96DFC" w:rsidRPr="009B235C">
        <w:rPr>
          <w:rFonts w:ascii="Arial" w:hAnsi="Arial" w:cs="Arial"/>
          <w:sz w:val="16"/>
          <w:szCs w:val="16"/>
        </w:rPr>
        <w:t>ustanawiającego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D96DFC">
        <w:rPr>
          <w:rFonts w:ascii="Arial" w:hAnsi="Arial" w:cs="Arial"/>
          <w:sz w:val="16"/>
          <w:szCs w:val="16"/>
          <w:lang w:val="pl-PL"/>
        </w:rPr>
        <w:t>.</w:t>
      </w:r>
    </w:p>
  </w:footnote>
  <w:footnote w:id="10">
    <w:p w14:paraId="72C8CDB8" w14:textId="79B2B5F2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>Termin 90 dni nie dotyczy projektów rozliczanych na podstawie kwot ryczałtowych</w:t>
      </w:r>
      <w:r w:rsidR="00D96DFC">
        <w:rPr>
          <w:rFonts w:ascii="Arial" w:hAnsi="Arial" w:cs="Arial"/>
          <w:sz w:val="16"/>
          <w:szCs w:val="16"/>
          <w:lang w:val="pl-PL"/>
        </w:rPr>
        <w:t xml:space="preserve"> oraz zaliczek, o których mowa w art. 91 </w:t>
      </w:r>
      <w:r w:rsidR="009103AE">
        <w:rPr>
          <w:rFonts w:ascii="Arial" w:hAnsi="Arial" w:cs="Arial"/>
          <w:sz w:val="16"/>
          <w:szCs w:val="16"/>
          <w:lang w:val="pl-PL"/>
        </w:rPr>
        <w:t xml:space="preserve">ust. 5 </w:t>
      </w:r>
      <w:r w:rsidR="00D96DFC">
        <w:rPr>
          <w:rFonts w:ascii="Arial" w:hAnsi="Arial" w:cs="Arial"/>
          <w:sz w:val="16"/>
          <w:szCs w:val="16"/>
          <w:lang w:val="pl-PL"/>
        </w:rPr>
        <w:t xml:space="preserve">Rozporządzenia Parlamentu </w:t>
      </w:r>
      <w:r w:rsidR="00D96DFC" w:rsidRPr="00863046">
        <w:rPr>
          <w:rFonts w:ascii="Arial" w:hAnsi="Arial" w:cs="Arial"/>
          <w:sz w:val="16"/>
          <w:szCs w:val="16"/>
        </w:rPr>
        <w:t>Europejskiego i Rady (UE) nr 202</w:t>
      </w:r>
      <w:r w:rsidR="00D96DFC">
        <w:rPr>
          <w:rFonts w:ascii="Arial" w:hAnsi="Arial" w:cs="Arial"/>
          <w:sz w:val="16"/>
          <w:szCs w:val="16"/>
        </w:rPr>
        <w:t>1/1060 z dnia 24 czerwca 2021 r.</w:t>
      </w:r>
      <w:r w:rsidR="003B0BF8" w:rsidRPr="003B0BF8">
        <w:rPr>
          <w:rFonts w:ascii="Arial" w:hAnsi="Arial" w:cs="Arial"/>
          <w:sz w:val="16"/>
          <w:szCs w:val="16"/>
        </w:rPr>
        <w:t xml:space="preserve"> </w:t>
      </w:r>
      <w:r w:rsidR="003B0BF8" w:rsidRPr="00EC6FC1">
        <w:rPr>
          <w:rFonts w:ascii="Arial" w:hAnsi="Arial" w:cs="Arial"/>
          <w:sz w:val="16"/>
          <w:szCs w:val="16"/>
        </w:rPr>
        <w:t xml:space="preserve">ustanawiającego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9B235C">
        <w:rPr>
          <w:rFonts w:ascii="Arial" w:hAnsi="Arial" w:cs="Arial"/>
          <w:sz w:val="16"/>
          <w:szCs w:val="16"/>
        </w:rPr>
        <w:br/>
      </w:r>
      <w:r w:rsidR="003B0BF8" w:rsidRPr="00EC6FC1">
        <w:rPr>
          <w:rFonts w:ascii="Arial" w:hAnsi="Arial" w:cs="Arial"/>
          <w:sz w:val="16"/>
          <w:szCs w:val="16"/>
        </w:rPr>
        <w:t xml:space="preserve">i Integracji, Funduszu Bezpieczeństwa Wewnętrznego i Instrumentu Wsparcia Finansowego na rzecz Zarządzania Granicami </w:t>
      </w:r>
      <w:r w:rsidR="009B235C">
        <w:rPr>
          <w:rFonts w:ascii="Arial" w:hAnsi="Arial" w:cs="Arial"/>
          <w:sz w:val="16"/>
          <w:szCs w:val="16"/>
        </w:rPr>
        <w:br/>
      </w:r>
      <w:r w:rsidR="003B0BF8" w:rsidRPr="00EC6FC1">
        <w:rPr>
          <w:rFonts w:ascii="Arial" w:hAnsi="Arial" w:cs="Arial"/>
          <w:sz w:val="16"/>
          <w:szCs w:val="16"/>
        </w:rPr>
        <w:t>i Polityki Wizowej</w:t>
      </w:r>
      <w:r w:rsidR="003B0BF8">
        <w:rPr>
          <w:rFonts w:ascii="Arial" w:hAnsi="Arial" w:cs="Arial"/>
          <w:sz w:val="16"/>
          <w:szCs w:val="16"/>
          <w:lang w:val="pl-PL"/>
        </w:rPr>
        <w:t xml:space="preserve">. </w:t>
      </w:r>
    </w:p>
  </w:footnote>
  <w:footnote w:id="11">
    <w:p w14:paraId="0AE69351" w14:textId="73635FEF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Termin </w:t>
      </w:r>
      <w:r w:rsidR="00AC6263">
        <w:rPr>
          <w:rFonts w:ascii="Arial" w:hAnsi="Arial" w:cs="Arial"/>
          <w:sz w:val="16"/>
          <w:szCs w:val="16"/>
          <w:lang w:val="pl-PL"/>
        </w:rPr>
        <w:t>104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 dni nie dotyczy projektów rozliczanych na podstawie kwot ryczałtowych</w:t>
      </w:r>
      <w:r w:rsidR="00D96DFC">
        <w:rPr>
          <w:rFonts w:ascii="Arial" w:hAnsi="Arial" w:cs="Arial"/>
          <w:sz w:val="16"/>
          <w:szCs w:val="16"/>
          <w:lang w:val="pl-PL"/>
        </w:rPr>
        <w:t xml:space="preserve"> oraz zaliczek, o których mowa w art. 91</w:t>
      </w:r>
      <w:r w:rsidR="00C324F4">
        <w:rPr>
          <w:rFonts w:ascii="Arial" w:hAnsi="Arial" w:cs="Arial"/>
          <w:sz w:val="16"/>
          <w:szCs w:val="16"/>
          <w:lang w:val="pl-PL"/>
        </w:rPr>
        <w:t xml:space="preserve"> ust. 5 </w:t>
      </w:r>
      <w:r w:rsidR="00D96DFC">
        <w:rPr>
          <w:rFonts w:ascii="Arial" w:hAnsi="Arial" w:cs="Arial"/>
          <w:sz w:val="16"/>
          <w:szCs w:val="16"/>
          <w:lang w:val="pl-PL"/>
        </w:rPr>
        <w:t xml:space="preserve">Rozporządzenia Parlamentu </w:t>
      </w:r>
      <w:r w:rsidR="00D96DFC" w:rsidRPr="00863046">
        <w:rPr>
          <w:rFonts w:ascii="Arial" w:hAnsi="Arial" w:cs="Arial"/>
          <w:sz w:val="16"/>
          <w:szCs w:val="16"/>
        </w:rPr>
        <w:t>Europejskiego i Rady (UE) nr 202</w:t>
      </w:r>
      <w:r w:rsidR="00D96DFC">
        <w:rPr>
          <w:rFonts w:ascii="Arial" w:hAnsi="Arial" w:cs="Arial"/>
          <w:sz w:val="16"/>
          <w:szCs w:val="16"/>
        </w:rPr>
        <w:t>1/1060 z dnia 24 czerwca 2021 r.</w:t>
      </w:r>
      <w:r w:rsidR="003B0BF8">
        <w:rPr>
          <w:rFonts w:ascii="Arial" w:hAnsi="Arial" w:cs="Arial"/>
          <w:sz w:val="16"/>
          <w:szCs w:val="16"/>
          <w:lang w:val="pl-PL"/>
        </w:rPr>
        <w:t xml:space="preserve"> </w:t>
      </w:r>
      <w:r w:rsidR="003B0BF8" w:rsidRPr="003B0BF8">
        <w:rPr>
          <w:rFonts w:ascii="Arial" w:hAnsi="Arial" w:cs="Arial"/>
          <w:sz w:val="16"/>
          <w:szCs w:val="16"/>
        </w:rPr>
        <w:t xml:space="preserve"> </w:t>
      </w:r>
      <w:r w:rsidR="003B0BF8" w:rsidRPr="00EC6FC1">
        <w:rPr>
          <w:rFonts w:ascii="Arial" w:hAnsi="Arial" w:cs="Arial"/>
          <w:sz w:val="16"/>
          <w:szCs w:val="16"/>
        </w:rPr>
        <w:t xml:space="preserve">ustanawiającego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9B235C">
        <w:rPr>
          <w:rFonts w:ascii="Arial" w:hAnsi="Arial" w:cs="Arial"/>
          <w:sz w:val="16"/>
          <w:szCs w:val="16"/>
        </w:rPr>
        <w:br/>
      </w:r>
      <w:r w:rsidR="003B0BF8" w:rsidRPr="00EC6FC1">
        <w:rPr>
          <w:rFonts w:ascii="Arial" w:hAnsi="Arial" w:cs="Arial"/>
          <w:sz w:val="16"/>
          <w:szCs w:val="16"/>
        </w:rPr>
        <w:t xml:space="preserve">i Integracji, Funduszu Bezpieczeństwa Wewnętrznego i Instrumentu Wsparcia Finansowego na rzecz Zarządzania Granicami </w:t>
      </w:r>
      <w:r w:rsidR="009B235C">
        <w:rPr>
          <w:rFonts w:ascii="Arial" w:hAnsi="Arial" w:cs="Arial"/>
          <w:sz w:val="16"/>
          <w:szCs w:val="16"/>
        </w:rPr>
        <w:br/>
      </w:r>
      <w:r w:rsidR="003B0BF8" w:rsidRPr="00EC6FC1">
        <w:rPr>
          <w:rFonts w:ascii="Arial" w:hAnsi="Arial" w:cs="Arial"/>
          <w:sz w:val="16"/>
          <w:szCs w:val="16"/>
        </w:rPr>
        <w:t>i Polityki Wizowej</w:t>
      </w:r>
      <w:r w:rsidR="003B0BF8">
        <w:rPr>
          <w:rFonts w:ascii="Arial" w:hAnsi="Arial" w:cs="Arial"/>
          <w:sz w:val="16"/>
          <w:szCs w:val="16"/>
          <w:lang w:val="pl-PL"/>
        </w:rPr>
        <w:t>.</w:t>
      </w:r>
    </w:p>
  </w:footnote>
  <w:footnote w:id="12">
    <w:p w14:paraId="08FB1393" w14:textId="00F7CC39" w:rsidR="00940BFC" w:rsidRPr="00FD2321" w:rsidRDefault="00940BF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FD232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2321">
        <w:rPr>
          <w:rFonts w:ascii="Arial" w:hAnsi="Arial" w:cs="Arial"/>
          <w:sz w:val="16"/>
          <w:szCs w:val="16"/>
        </w:rPr>
        <w:t xml:space="preserve"> </w:t>
      </w:r>
      <w:r w:rsidRPr="00FD2321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FD2321">
        <w:rPr>
          <w:rFonts w:ascii="Arial" w:hAnsi="Arial" w:cs="Arial"/>
          <w:sz w:val="16"/>
          <w:szCs w:val="16"/>
          <w:lang w:val="pl-PL"/>
        </w:rPr>
        <w:t>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EBE2F0A8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15A8225E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0B90"/>
    <w:rsid w:val="00023069"/>
    <w:rsid w:val="00037C09"/>
    <w:rsid w:val="00042EEB"/>
    <w:rsid w:val="00044B28"/>
    <w:rsid w:val="000504D9"/>
    <w:rsid w:val="000508E2"/>
    <w:rsid w:val="00052090"/>
    <w:rsid w:val="00052D10"/>
    <w:rsid w:val="00054C3E"/>
    <w:rsid w:val="00055636"/>
    <w:rsid w:val="00056765"/>
    <w:rsid w:val="00056992"/>
    <w:rsid w:val="00071713"/>
    <w:rsid w:val="00073B16"/>
    <w:rsid w:val="000765DD"/>
    <w:rsid w:val="00081B4C"/>
    <w:rsid w:val="000845D8"/>
    <w:rsid w:val="00085187"/>
    <w:rsid w:val="00086B42"/>
    <w:rsid w:val="000A0219"/>
    <w:rsid w:val="000A05D1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09F5"/>
    <w:rsid w:val="000D6AD5"/>
    <w:rsid w:val="000E0190"/>
    <w:rsid w:val="000E2935"/>
    <w:rsid w:val="000E4C84"/>
    <w:rsid w:val="000F1CA3"/>
    <w:rsid w:val="000F7CEA"/>
    <w:rsid w:val="001023C9"/>
    <w:rsid w:val="001029A3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1BAA"/>
    <w:rsid w:val="001922B9"/>
    <w:rsid w:val="0019566E"/>
    <w:rsid w:val="00195B15"/>
    <w:rsid w:val="00195F17"/>
    <w:rsid w:val="001A4DC5"/>
    <w:rsid w:val="001B1A4F"/>
    <w:rsid w:val="001B6D08"/>
    <w:rsid w:val="001B76BB"/>
    <w:rsid w:val="001C102E"/>
    <w:rsid w:val="001C5424"/>
    <w:rsid w:val="001C7A12"/>
    <w:rsid w:val="001C7D67"/>
    <w:rsid w:val="001D1B34"/>
    <w:rsid w:val="001D1EB0"/>
    <w:rsid w:val="001D7D87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3233"/>
    <w:rsid w:val="0024411F"/>
    <w:rsid w:val="0024463C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46EF"/>
    <w:rsid w:val="0027621A"/>
    <w:rsid w:val="00277B12"/>
    <w:rsid w:val="002805BE"/>
    <w:rsid w:val="00283020"/>
    <w:rsid w:val="0028534C"/>
    <w:rsid w:val="00286030"/>
    <w:rsid w:val="00291C24"/>
    <w:rsid w:val="00295A2D"/>
    <w:rsid w:val="0029612A"/>
    <w:rsid w:val="0029752E"/>
    <w:rsid w:val="00297651"/>
    <w:rsid w:val="002A14B0"/>
    <w:rsid w:val="002A2A43"/>
    <w:rsid w:val="002A50C8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372C7"/>
    <w:rsid w:val="00341BCD"/>
    <w:rsid w:val="00344A46"/>
    <w:rsid w:val="00347990"/>
    <w:rsid w:val="00353E5F"/>
    <w:rsid w:val="00360AFB"/>
    <w:rsid w:val="00383673"/>
    <w:rsid w:val="00383D23"/>
    <w:rsid w:val="00384440"/>
    <w:rsid w:val="00384626"/>
    <w:rsid w:val="003852D3"/>
    <w:rsid w:val="00393ED9"/>
    <w:rsid w:val="003A065D"/>
    <w:rsid w:val="003A5A23"/>
    <w:rsid w:val="003B0B52"/>
    <w:rsid w:val="003B0BF8"/>
    <w:rsid w:val="003B2FFB"/>
    <w:rsid w:val="003B708D"/>
    <w:rsid w:val="003B70CA"/>
    <w:rsid w:val="003B7E63"/>
    <w:rsid w:val="003C1CE4"/>
    <w:rsid w:val="003C2C29"/>
    <w:rsid w:val="003C4C52"/>
    <w:rsid w:val="003C5A22"/>
    <w:rsid w:val="003C6A5C"/>
    <w:rsid w:val="003C6D47"/>
    <w:rsid w:val="003D0172"/>
    <w:rsid w:val="003D3005"/>
    <w:rsid w:val="003D72AF"/>
    <w:rsid w:val="003E10AD"/>
    <w:rsid w:val="003F1D0A"/>
    <w:rsid w:val="003F4888"/>
    <w:rsid w:val="003F4B49"/>
    <w:rsid w:val="003F5E04"/>
    <w:rsid w:val="003F6D24"/>
    <w:rsid w:val="003F6DCE"/>
    <w:rsid w:val="003F71C8"/>
    <w:rsid w:val="003F7B1C"/>
    <w:rsid w:val="0040128A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3D02"/>
    <w:rsid w:val="004573C7"/>
    <w:rsid w:val="0046377A"/>
    <w:rsid w:val="00470DA2"/>
    <w:rsid w:val="00475E11"/>
    <w:rsid w:val="004830DE"/>
    <w:rsid w:val="00490123"/>
    <w:rsid w:val="00490567"/>
    <w:rsid w:val="00492F7A"/>
    <w:rsid w:val="00496085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E5A6A"/>
    <w:rsid w:val="004F160C"/>
    <w:rsid w:val="004F39C5"/>
    <w:rsid w:val="004F3AC0"/>
    <w:rsid w:val="004F488E"/>
    <w:rsid w:val="004F4943"/>
    <w:rsid w:val="004F6106"/>
    <w:rsid w:val="00500ECE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A6B"/>
    <w:rsid w:val="00533FB8"/>
    <w:rsid w:val="005421D0"/>
    <w:rsid w:val="00543499"/>
    <w:rsid w:val="00551024"/>
    <w:rsid w:val="00551604"/>
    <w:rsid w:val="00553E86"/>
    <w:rsid w:val="0055603A"/>
    <w:rsid w:val="0056752F"/>
    <w:rsid w:val="00570477"/>
    <w:rsid w:val="005725D1"/>
    <w:rsid w:val="0057298F"/>
    <w:rsid w:val="0057638C"/>
    <w:rsid w:val="005766AF"/>
    <w:rsid w:val="00581718"/>
    <w:rsid w:val="00582A24"/>
    <w:rsid w:val="00582FEA"/>
    <w:rsid w:val="005861A0"/>
    <w:rsid w:val="005924E6"/>
    <w:rsid w:val="00593B07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C5545"/>
    <w:rsid w:val="005D1209"/>
    <w:rsid w:val="005D2A3E"/>
    <w:rsid w:val="005D70F5"/>
    <w:rsid w:val="005D744C"/>
    <w:rsid w:val="005D74A7"/>
    <w:rsid w:val="005E3577"/>
    <w:rsid w:val="005E4135"/>
    <w:rsid w:val="005F0289"/>
    <w:rsid w:val="005F1022"/>
    <w:rsid w:val="005F334E"/>
    <w:rsid w:val="005F384A"/>
    <w:rsid w:val="00601465"/>
    <w:rsid w:val="006019C2"/>
    <w:rsid w:val="00605153"/>
    <w:rsid w:val="00606188"/>
    <w:rsid w:val="0060711E"/>
    <w:rsid w:val="006107C0"/>
    <w:rsid w:val="00610904"/>
    <w:rsid w:val="00617775"/>
    <w:rsid w:val="00620896"/>
    <w:rsid w:val="006211C3"/>
    <w:rsid w:val="00622365"/>
    <w:rsid w:val="006239BC"/>
    <w:rsid w:val="006255B1"/>
    <w:rsid w:val="00642200"/>
    <w:rsid w:val="0064261B"/>
    <w:rsid w:val="00642E1F"/>
    <w:rsid w:val="00645175"/>
    <w:rsid w:val="00645267"/>
    <w:rsid w:val="0064734A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E2152"/>
    <w:rsid w:val="006F0281"/>
    <w:rsid w:val="006F3BF3"/>
    <w:rsid w:val="006F4519"/>
    <w:rsid w:val="00700783"/>
    <w:rsid w:val="00700EAA"/>
    <w:rsid w:val="007045B6"/>
    <w:rsid w:val="007117F2"/>
    <w:rsid w:val="00715A42"/>
    <w:rsid w:val="00720FCA"/>
    <w:rsid w:val="0072213E"/>
    <w:rsid w:val="0072463A"/>
    <w:rsid w:val="00726433"/>
    <w:rsid w:val="007324B2"/>
    <w:rsid w:val="00732F03"/>
    <w:rsid w:val="007364D8"/>
    <w:rsid w:val="00740E3B"/>
    <w:rsid w:val="007430F6"/>
    <w:rsid w:val="007453FE"/>
    <w:rsid w:val="007546D7"/>
    <w:rsid w:val="0075554F"/>
    <w:rsid w:val="007561E2"/>
    <w:rsid w:val="007629CA"/>
    <w:rsid w:val="007640CB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A0D"/>
    <w:rsid w:val="007B2F59"/>
    <w:rsid w:val="007B3C61"/>
    <w:rsid w:val="007B5DF1"/>
    <w:rsid w:val="007B738A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06EDF"/>
    <w:rsid w:val="0081089B"/>
    <w:rsid w:val="008108AB"/>
    <w:rsid w:val="008116A5"/>
    <w:rsid w:val="00813CB4"/>
    <w:rsid w:val="00814402"/>
    <w:rsid w:val="00815A64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57E91"/>
    <w:rsid w:val="00860F32"/>
    <w:rsid w:val="00861617"/>
    <w:rsid w:val="00862EE8"/>
    <w:rsid w:val="00863E58"/>
    <w:rsid w:val="0086779C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02B6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3AE"/>
    <w:rsid w:val="00910AC9"/>
    <w:rsid w:val="00913794"/>
    <w:rsid w:val="009157AC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57D8E"/>
    <w:rsid w:val="00960A74"/>
    <w:rsid w:val="00971DD0"/>
    <w:rsid w:val="00973153"/>
    <w:rsid w:val="009815E2"/>
    <w:rsid w:val="0098252F"/>
    <w:rsid w:val="009829BC"/>
    <w:rsid w:val="009877B8"/>
    <w:rsid w:val="00990CEC"/>
    <w:rsid w:val="00992125"/>
    <w:rsid w:val="00995888"/>
    <w:rsid w:val="009A0D0B"/>
    <w:rsid w:val="009A4038"/>
    <w:rsid w:val="009B185E"/>
    <w:rsid w:val="009B235C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077D7"/>
    <w:rsid w:val="00A10C7F"/>
    <w:rsid w:val="00A10E30"/>
    <w:rsid w:val="00A118DB"/>
    <w:rsid w:val="00A163E6"/>
    <w:rsid w:val="00A20005"/>
    <w:rsid w:val="00A23B08"/>
    <w:rsid w:val="00A27FF4"/>
    <w:rsid w:val="00A34E03"/>
    <w:rsid w:val="00A40E7B"/>
    <w:rsid w:val="00A52FD9"/>
    <w:rsid w:val="00A54905"/>
    <w:rsid w:val="00A63C40"/>
    <w:rsid w:val="00A64E9B"/>
    <w:rsid w:val="00A7203A"/>
    <w:rsid w:val="00A72CB0"/>
    <w:rsid w:val="00A73025"/>
    <w:rsid w:val="00A73467"/>
    <w:rsid w:val="00A7417C"/>
    <w:rsid w:val="00A83DA8"/>
    <w:rsid w:val="00A85776"/>
    <w:rsid w:val="00A940E8"/>
    <w:rsid w:val="00A95863"/>
    <w:rsid w:val="00AA6E95"/>
    <w:rsid w:val="00AB1FC2"/>
    <w:rsid w:val="00AB2CE6"/>
    <w:rsid w:val="00AB5CF0"/>
    <w:rsid w:val="00AB63F6"/>
    <w:rsid w:val="00AC6263"/>
    <w:rsid w:val="00AD1EDD"/>
    <w:rsid w:val="00AD4211"/>
    <w:rsid w:val="00AD4D7E"/>
    <w:rsid w:val="00AD6D7D"/>
    <w:rsid w:val="00AE03A6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36115"/>
    <w:rsid w:val="00B50FE7"/>
    <w:rsid w:val="00B53FA0"/>
    <w:rsid w:val="00B567BC"/>
    <w:rsid w:val="00B61478"/>
    <w:rsid w:val="00B630BE"/>
    <w:rsid w:val="00B65DE7"/>
    <w:rsid w:val="00B731C8"/>
    <w:rsid w:val="00B74BCB"/>
    <w:rsid w:val="00B75D25"/>
    <w:rsid w:val="00B81126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C5C20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12C3"/>
    <w:rsid w:val="00C235A6"/>
    <w:rsid w:val="00C260DD"/>
    <w:rsid w:val="00C315B0"/>
    <w:rsid w:val="00C324F4"/>
    <w:rsid w:val="00C337BE"/>
    <w:rsid w:val="00C443C0"/>
    <w:rsid w:val="00C46A03"/>
    <w:rsid w:val="00C603C6"/>
    <w:rsid w:val="00C66008"/>
    <w:rsid w:val="00C67BCD"/>
    <w:rsid w:val="00C7107B"/>
    <w:rsid w:val="00C74DAC"/>
    <w:rsid w:val="00C77531"/>
    <w:rsid w:val="00C778DC"/>
    <w:rsid w:val="00C85428"/>
    <w:rsid w:val="00C91077"/>
    <w:rsid w:val="00C91CC5"/>
    <w:rsid w:val="00C950C9"/>
    <w:rsid w:val="00C95FA6"/>
    <w:rsid w:val="00C9614F"/>
    <w:rsid w:val="00C96A80"/>
    <w:rsid w:val="00C96A9F"/>
    <w:rsid w:val="00C9706C"/>
    <w:rsid w:val="00CA4C38"/>
    <w:rsid w:val="00CA53EB"/>
    <w:rsid w:val="00CA5780"/>
    <w:rsid w:val="00CA5C40"/>
    <w:rsid w:val="00CB236A"/>
    <w:rsid w:val="00CB5E4E"/>
    <w:rsid w:val="00CB7A44"/>
    <w:rsid w:val="00CC0688"/>
    <w:rsid w:val="00CC365A"/>
    <w:rsid w:val="00CC6F19"/>
    <w:rsid w:val="00CC6FFF"/>
    <w:rsid w:val="00CC7352"/>
    <w:rsid w:val="00CC79EA"/>
    <w:rsid w:val="00CD6407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466E9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2DD4"/>
    <w:rsid w:val="00D967C3"/>
    <w:rsid w:val="00D96DFC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006"/>
    <w:rsid w:val="00DD5EBE"/>
    <w:rsid w:val="00DE1F43"/>
    <w:rsid w:val="00DE64C9"/>
    <w:rsid w:val="00DE76AD"/>
    <w:rsid w:val="00DE7B72"/>
    <w:rsid w:val="00DF2194"/>
    <w:rsid w:val="00DF38BB"/>
    <w:rsid w:val="00DF3EC8"/>
    <w:rsid w:val="00DF69F7"/>
    <w:rsid w:val="00E03B1D"/>
    <w:rsid w:val="00E07194"/>
    <w:rsid w:val="00E153F5"/>
    <w:rsid w:val="00E1732A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5635A"/>
    <w:rsid w:val="00E61516"/>
    <w:rsid w:val="00E61E5E"/>
    <w:rsid w:val="00E650E8"/>
    <w:rsid w:val="00E66FF1"/>
    <w:rsid w:val="00E7105A"/>
    <w:rsid w:val="00E74B71"/>
    <w:rsid w:val="00E77202"/>
    <w:rsid w:val="00E84A8C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67B"/>
    <w:rsid w:val="00EC08AA"/>
    <w:rsid w:val="00EC2F3E"/>
    <w:rsid w:val="00EC3049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05161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2896"/>
    <w:rsid w:val="00F659B1"/>
    <w:rsid w:val="00F665B6"/>
    <w:rsid w:val="00F6755F"/>
    <w:rsid w:val="00F67E4B"/>
    <w:rsid w:val="00F71223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0EC3"/>
    <w:rsid w:val="00FC5C0E"/>
    <w:rsid w:val="00FC64F9"/>
    <w:rsid w:val="00FD1605"/>
    <w:rsid w:val="00FD2321"/>
    <w:rsid w:val="00FD2FEF"/>
    <w:rsid w:val="00FD3955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F6D24-4987-4ED6-8259-3B431FA2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15</Pages>
  <Words>4924</Words>
  <Characters>29550</Characters>
  <Application>Microsoft Office Word</Application>
  <DocSecurity>0</DocSecurity>
  <Lines>246</Lines>
  <Paragraphs>68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43</cp:revision>
  <cp:lastPrinted>2025-09-09T09:35:00Z</cp:lastPrinted>
  <dcterms:created xsi:type="dcterms:W3CDTF">2024-07-04T08:09:00Z</dcterms:created>
  <dcterms:modified xsi:type="dcterms:W3CDTF">2025-09-16T11:40:00Z</dcterms:modified>
</cp:coreProperties>
</file>